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2484-3_424b5.htm"/>
        <w:bookmarkStart w:id="1" w:name="kstm2612484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333-295355</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April 27,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16287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7905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0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Carriage Services,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Equity Distribution Agreement (the “Sales Agreement”) with Oppenheimer &amp; Co. Inc. (“Oppenheimer”) and Raymond James &amp; Associates, Inc. (“Raymond James” and, together with Oppenheimer, the “Sales Agents”) relating to shares of our common stock, $0.01 par value per share, offered by this prospectus supplement and the accompanying prospectus. In accordance with the terms of the Sales Agreement, from time to time we may offer and sell shares of our common stock having an aggregate gross sales price of up to $100,000,000 through or to the Sales Agents, acting as sales agents or principals, pursuant to this prospectus supplement and the accompanying prospectus. </w:t>
      </w:r>
    </w:p>
    <w:p>
      <w:pPr>
        <w:pStyle w:val="TextBody"/>
        <w:bidi w:val="0"/>
        <w:spacing w:lineRule="atLeast" w:line="22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supplement may be made in sales deemed to be an “at the market offering” as defined in Rule 415(a)(4) promulgated under the Securities Act of 1933, as amended (the “Securities Act”). Subject to the terms of the Sales Agreement, the Sales Agents are not required to sell any specific number or dollar amounts of our common stock but will use commercially reasonable efforts consistent with their normal trading and sales practices and applicable state and federal laws, rules and regulations and the rules of the New York Stock Exchange (the “Exchange”), on mutually agreed terms between the Sales Agents and us. There is no arrangement for funds to be received in any escrow, trust or similar arrangement. </w:t>
      </w:r>
    </w:p>
    <w:p>
      <w:pPr>
        <w:pStyle w:val="TextBody"/>
        <w:bidi w:val="0"/>
        <w:spacing w:lineRule="atLeast" w:line="22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will be entitled to compensation under the terms of the Sales Agreement at a commission rate of up to 3.0% of the gross proceeds from each sale of our common stock. See “Plan of Distribution” for additional information regarding the compensation to be paid to Oppenheimer. The net proceeds from any sales under this prospectus supplement will be used as described under “Use of Proceeds.” The proceeds we receive from sales of our common stock, if any, will depend on the number of shares actually sold and the offering price of such shares. </w:t>
      </w:r>
    </w:p>
    <w:p>
      <w:pPr>
        <w:pStyle w:val="TextBody"/>
        <w:bidi w:val="0"/>
        <w:spacing w:lineRule="atLeast" w:line="22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common stock on our behalf, the Sales Agents will be deemed to be “underwriters” within the meaning of the Securities Act and the compensation of the Sales Agents will be deemed to be underwriting commissions or discounts. We have also agreed to provide indemnification and contributions to the Sales Agents against certain liabilities, including liabilities under the Securities Act and the Securities Exchange Act of 1934, as amended (the “Exchange Act”). </w:t>
      </w:r>
    </w:p>
    <w:p>
      <w:pPr>
        <w:pStyle w:val="TextBody"/>
        <w:bidi w:val="0"/>
        <w:spacing w:lineRule="atLeast" w:line="22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(“NYSE”) under the symbol “CSV”. On May 5, 2026, the last reported sale price of our common stock was $47.48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8"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significant risks. See “Risk Factors” beginning on page </w:t>
      </w:r>
      <w:hyperlink w:anchor="tRIFA">
        <w:r>
          <w:rPr>
            <w:rStyle w:val="InternetLink"/>
          </w:rPr>
          <w:t>S-3</w:t>
        </w:r>
      </w:hyperlink>
      <w:r>
        <w:rPr>
          <w:rFonts w:ascii="Times New Roman;Times;serif" w:hAnsi="Times New Roman;Times;serif"/>
          <w:b/>
          <w:i w:val="false"/>
          <w:caps w:val="false"/>
          <w:smallCaps w:val="false"/>
          <w:color w:val="000000"/>
          <w:spacing w:val="-4"/>
          <w:sz w:val="20"/>
        </w:rPr>
        <w:t xml:space="preserve"> of this prospectus supplement and the risk factors that are incorporated by reference into this prospectus supplement and the accompanying prospectus from our filings made with the Securities and Exchange Commission (the “SEC”) pursuant to the Exchange Act for a discussion of the factors you should carefully consider before deciding to invest in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0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our common stock or determined if this prospectus supplement or the accompanying prospectus is accurate, truthful or complete. Any representation to the contrary is a criminal offense.</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4155" w:type="dxa"/>
        <w:jc w:val="left"/>
        <w:tblInd w:w="1393" w:type="dxa"/>
        <w:tblLayout w:type="fixed"/>
        <w:tblCellMar>
          <w:top w:w="0" w:type="dxa"/>
          <w:left w:w="0" w:type="dxa"/>
          <w:bottom w:w="0" w:type="dxa"/>
          <w:right w:w="0" w:type="dxa"/>
        </w:tblCellMar>
      </w:tblPr>
      <w:tblGrid>
        <w:gridCol w:w="124"/>
        <w:gridCol w:w="2003"/>
        <w:gridCol w:w="109"/>
        <w:gridCol w:w="109"/>
        <w:gridCol w:w="1656"/>
        <w:gridCol w:w="154"/>
      </w:tblGrid>
      <w:tr>
        <w:trPr/>
        <w:tc>
          <w:tcPr>
            <w:tcW w:w="124" w:type="dxa"/>
            <w:tcBorders/>
            <w:vAlign w:val="center"/>
          </w:tcPr>
          <w:p>
            <w:pPr>
              <w:pStyle w:val="TableContents"/>
              <w:bidi w:val="0"/>
              <w:spacing w:before="0" w:after="283"/>
              <w:jc w:val="left"/>
              <w:rPr/>
            </w:pPr>
            <w:r>
              <w:rPr/>
              <w:t>​</w:t>
            </w:r>
          </w:p>
        </w:tc>
        <w:tc>
          <w:tcPr>
            <w:tcW w:w="2003" w:type="dxa"/>
            <w:tcBorders/>
            <w:vAlign w:val="center"/>
          </w:tcPr>
          <w:p>
            <w:pPr>
              <w:pStyle w:val="TableContents"/>
              <w:bidi w:val="0"/>
              <w:spacing w:before="0" w:after="283"/>
              <w:jc w:val="left"/>
              <w:rPr/>
            </w:pPr>
            <w:r>
              <w:rPr>
                <w:spacing w:val="-7"/>
              </w:rPr>
              <w:t>Oppenheimer &amp; Co.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6" w:type="dxa"/>
            <w:tcBorders/>
            <w:vAlign w:val="center"/>
          </w:tcPr>
          <w:p>
            <w:pPr>
              <w:pStyle w:val="TableContents"/>
              <w:bidi w:val="0"/>
              <w:spacing w:before="0" w:after="0"/>
              <w:jc w:val="right"/>
              <w:rPr/>
            </w:pPr>
            <w:r>
              <w:rPr>
                <w:spacing w:val="-7"/>
              </w:rPr>
              <w:t>Raymond James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May 6,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17"/>
        <w:gridCol w:w="109"/>
        <w:gridCol w:w="109"/>
        <w:gridCol w:w="109"/>
        <w:gridCol w:w="109"/>
        <w:gridCol w:w="57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17" w:type="dxa"/>
            <w:tcBorders/>
            <w:shd w:fill="CCEEFF" w:val="clear"/>
            <w:vAlign w:val="center"/>
          </w:tcPr>
          <w:p>
            <w:pPr>
              <w:pStyle w:val="TableContents"/>
              <w:bidi w:val="0"/>
              <w:spacing w:before="0" w:after="0"/>
              <w:jc w:val="left"/>
              <w:rPr/>
            </w:pPr>
            <w:hyperlink w:anchor="t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1" w:type="dxa"/>
            <w:tcBorders/>
            <w:shd w:fill="CCEEFF" w:val="clear"/>
            <w:vAlign w:val="center"/>
          </w:tcPr>
          <w:p>
            <w:pPr>
              <w:pStyle w:val="TableContents"/>
              <w:bidi w:val="0"/>
              <w:spacing w:before="0" w:after="283"/>
              <w:jc w:val="right"/>
              <w:rPr/>
            </w:pPr>
            <w:hyperlink w:anchor="tATPS">
              <w:r>
                <w:rPr>
                  <w:rStyle w:val="InternetLink"/>
                  <w:spacing w:val="4"/>
                </w:rPr>
                <w:t>S-ii</w:t>
              </w:r>
            </w:hyperlink>
            <w:hyperlink w:anchor="t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7" w:type="dxa"/>
            <w:tcBorders/>
            <w:vAlign w:val="center"/>
          </w:tcPr>
          <w:p>
            <w:pPr>
              <w:pStyle w:val="TableContents"/>
              <w:bidi w:val="0"/>
              <w:spacing w:before="0" w:after="0"/>
              <w:jc w:val="left"/>
              <w:rPr/>
            </w:pPr>
            <w:hyperlink w:anchor="tPSS">
              <w:r>
                <w:rPr>
                  <w:rStyle w:val="InternetLink"/>
                  <w:spacing w:val="4"/>
                </w:rPr>
                <w:t xml:space="preserve">PROSPECTUS SUPPLEMENT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hyperlink w:anchor="tPSS">
              <w:r>
                <w:rPr>
                  <w:rStyle w:val="InternetLink"/>
                  <w:spacing w:val="4"/>
                </w:rPr>
                <w:t>S-1</w:t>
              </w:r>
            </w:hyperlink>
            <w:hyperlink w:anchor="tPS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7" w:type="dxa"/>
            <w:tcBorders/>
            <w:shd w:fill="CCEEFF" w:val="cle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1" w:type="dxa"/>
            <w:tcBorders/>
            <w:shd w:fill="CCEEFF" w:val="clear"/>
            <w:vAlign w:val="center"/>
          </w:tcPr>
          <w:p>
            <w:pPr>
              <w:pStyle w:val="TableContents"/>
              <w:bidi w:val="0"/>
              <w:spacing w:before="0" w:after="283"/>
              <w:jc w:val="right"/>
              <w:rPr/>
            </w:pPr>
            <w:hyperlink w:anchor="tTHOF">
              <w:r>
                <w:rPr>
                  <w:rStyle w:val="InternetLink"/>
                  <w:spacing w:val="4"/>
                </w:rPr>
                <w:t>S-2</w:t>
              </w:r>
            </w:hyperlink>
            <w:hyperlink w:anchor="t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7"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hyperlink w:anchor="tRIFA">
              <w:r>
                <w:rPr>
                  <w:rStyle w:val="InternetLink"/>
                  <w:spacing w:val="4"/>
                </w:rPr>
                <w:t>S-3</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7"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1" w:type="dxa"/>
            <w:tcBorders/>
            <w:shd w:fill="CCEEFF" w:val="clear"/>
            <w:vAlign w:val="center"/>
          </w:tcPr>
          <w:p>
            <w:pPr>
              <w:pStyle w:val="TableContents"/>
              <w:bidi w:val="0"/>
              <w:spacing w:before="0" w:after="283"/>
              <w:jc w:val="right"/>
              <w:rPr/>
            </w:pPr>
            <w:hyperlink w:anchor="tUOP">
              <w:r>
                <w:rPr>
                  <w:rStyle w:val="InternetLink"/>
                  <w:spacing w:val="4"/>
                </w:rPr>
                <w:t>S-8</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7"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hyperlink w:anchor="tPOD">
              <w:r>
                <w:rPr>
                  <w:rStyle w:val="InternetLink"/>
                  <w:spacing w:val="4"/>
                </w:rPr>
                <w:t>S-9</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7"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1" w:type="dxa"/>
            <w:tcBorders/>
            <w:shd w:fill="CCEEFF" w:val="clear"/>
            <w:vAlign w:val="center"/>
          </w:tcPr>
          <w:p>
            <w:pPr>
              <w:pStyle w:val="TableContents"/>
              <w:bidi w:val="0"/>
              <w:spacing w:before="0" w:after="283"/>
              <w:jc w:val="right"/>
              <w:rPr/>
            </w:pPr>
            <w:hyperlink w:anchor="tLEMA">
              <w:r>
                <w:rPr>
                  <w:rStyle w:val="InternetLink"/>
                  <w:spacing w:val="4"/>
                </w:rPr>
                <w:t>S-10</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7"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hyperlink w:anchor="tEXP">
              <w:r>
                <w:rPr>
                  <w:rStyle w:val="InternetLink"/>
                  <w:spacing w:val="4"/>
                </w:rPr>
                <w:t>S-10</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7"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1" w:type="dxa"/>
            <w:tcBorders/>
            <w:shd w:fill="CCEEFF" w:val="clear"/>
            <w:vAlign w:val="center"/>
          </w:tcPr>
          <w:p>
            <w:pPr>
              <w:pStyle w:val="TableContents"/>
              <w:bidi w:val="0"/>
              <w:spacing w:before="0" w:after="283"/>
              <w:jc w:val="right"/>
              <w:rPr/>
            </w:pPr>
            <w:hyperlink w:anchor="tWYCF">
              <w:r>
                <w:rPr>
                  <w:rStyle w:val="InternetLink"/>
                  <w:spacing w:val="4"/>
                </w:rPr>
                <w:t>S-11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CSI">
              <w:r>
                <w:rPr>
                  <w:rStyle w:val="InternetLink"/>
                  <w:spacing w:val="4"/>
                </w:rPr>
                <w:t xml:space="preserve">CARRIAGE SERVICES,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CSI">
              <w:r>
                <w:rPr>
                  <w:rStyle w:val="InternetLink"/>
                  <w:spacing w:val="4"/>
                </w:rPr>
                <w:t>1</w:t>
              </w:r>
            </w:hyperlink>
            <w:hyperlink w:anchor="bC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CNRF">
              <w:r>
                <w:rPr>
                  <w:rStyle w:val="InternetLink"/>
                  <w:spacing w:val="4"/>
                </w:rPr>
                <w:t>2</w:t>
              </w:r>
            </w:hyperlink>
            <w:hyperlink w:anchor="b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WYCF">
              <w:r>
                <w:rPr>
                  <w:rStyle w:val="InternetLink"/>
                  <w:spacing w:val="4"/>
                </w:rPr>
                <w:t>5</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IOCD">
              <w:r>
                <w:rPr>
                  <w:rStyle w:val="InternetLink"/>
                  <w:spacing w:val="4"/>
                </w:rPr>
                <w:t>5</w:t>
              </w:r>
            </w:hyperlink>
            <w:hyperlink w:anchor="bIOC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RIFA">
              <w:r>
                <w:rPr>
                  <w:rStyle w:val="InternetLink"/>
                  <w:spacing w:val="4"/>
                </w:rPr>
                <w:t>6</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UOP">
              <w:r>
                <w:rPr>
                  <w:rStyle w:val="InternetLink"/>
                  <w:spacing w:val="4"/>
                </w:rPr>
                <w:t>7</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DODS">
              <w:r>
                <w:rPr>
                  <w:rStyle w:val="InternetLink"/>
                  <w:spacing w:val="4"/>
                </w:rPr>
                <w:t>8</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DOCS">
              <w:r>
                <w:rPr>
                  <w:rStyle w:val="InternetLink"/>
                  <w:spacing w:val="4"/>
                </w:rPr>
                <w:t>18</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DODS1">
              <w:r>
                <w:rPr>
                  <w:rStyle w:val="InternetLink"/>
                  <w:spacing w:val="4"/>
                </w:rPr>
                <w:t>22</w:t>
              </w:r>
            </w:hyperlink>
            <w:hyperlink w:anchor="b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DOW">
              <w:r>
                <w:rPr>
                  <w:rStyle w:val="InternetLink"/>
                  <w:spacing w:val="4"/>
                </w:rPr>
                <w:t>24</w:t>
              </w:r>
            </w:hyperlink>
            <w:hyperlink w:anchor="b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DOSR">
              <w:r>
                <w:rPr>
                  <w:rStyle w:val="InternetLink"/>
                  <w:spacing w:val="4"/>
                </w:rPr>
                <w:t xml:space="preserve">DESCRIPTION OF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DOSR">
              <w:r>
                <w:rPr>
                  <w:rStyle w:val="InternetLink"/>
                  <w:spacing w:val="4"/>
                </w:rPr>
                <w:t>26</w:t>
              </w:r>
            </w:hyperlink>
            <w:hyperlink w:anchor="bDO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DOPC">
              <w:r>
                <w:rPr>
                  <w:rStyle w:val="InternetLink"/>
                  <w:spacing w:val="4"/>
                </w:rPr>
                <w:t xml:space="preserve">DESCRIPTION OF PURCHASE CONTRACTS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DOPC">
              <w:r>
                <w:rPr>
                  <w:rStyle w:val="InternetLink"/>
                  <w:spacing w:val="4"/>
                </w:rPr>
                <w:t>27</w:t>
              </w:r>
            </w:hyperlink>
            <w:hyperlink w:anchor="b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DOU">
              <w:r>
                <w:rPr>
                  <w:rStyle w:val="InternetLink"/>
                  <w:spacing w:val="4"/>
                </w:rPr>
                <w:t>28</w:t>
              </w:r>
            </w:hyperlink>
            <w:hyperlink w:anchor="b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FOS">
              <w:r>
                <w:rPr>
                  <w:rStyle w:val="InternetLink"/>
                  <w:spacing w:val="4"/>
                </w:rPr>
                <w:t>29</w:t>
              </w:r>
            </w:hyperlink>
            <w:hyperlink w:anchor="bF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POD">
              <w:r>
                <w:rPr>
                  <w:rStyle w:val="InternetLink"/>
                  <w:spacing w:val="4"/>
                </w:rPr>
                <w:t>31</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LEMA">
              <w:r>
                <w:rPr>
                  <w:rStyle w:val="InternetLink"/>
                  <w:spacing w:val="4"/>
                </w:rPr>
                <w:t>34</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EXP">
              <w:r>
                <w:rPr>
                  <w:rStyle w:val="InternetLink"/>
                  <w:spacing w:val="4"/>
                </w:rPr>
                <w:t>34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part of a registration statement on Form S-3 that we filed with the SEC using a “shelf” registration process. Under the shelf registration process, we may offer shares of our common stock having an aggregate offering price of up to $100,000,000 from time to time through Oppenheimer and Raymond James acting as our agents under this prospectus supplement at prices and on terms to be determined by market conditions at the time of offering. Before buying any of the shares of common stock that we are offering, we urge you to carefully read this prospectus supplement, together with the information incorporated by reference as described under the headings “Where You Can Find Additional Information; Incorporation by Reference” in this prospectus supplement, the accompanying prospectus and any free writing prospectus that we have authorized for use in connection with this offering. These documents contain important information that you should consider when making your investment decision. In general, when we refer to the prospectus, we are referring to both the prospectus supplement and the accompanying prospectus combined.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terms of this offering of shares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Sales Agents have not, authorized any other person to provide you with information that is in addition to or different from that contained or incorporated by reference in this prospectus, along with the information contained in any free writing prospectuses we have authorized for use in connection with this offering. Neither we nor the Sales Agents take any responsibility for, or can provide any assurance as to the reliability of, any information other than the information contained or incorporated by reference in this prospectus or any free writing prospectuses we have authorized for use in connection with this offering.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or any earlier date specified for such information unless we indicate otherwise.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contained on, or accessible through, our website is not part of this prospectus. We and the Sales Agents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we use the terms “Carriage Services,” “company,” “we,” “us,” and “our” in this prospectus to refer to Carriage Services, Inc. and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 obtained the industry and market data used throughout this prospectus supplement, the accompanying prospectus, or any documents incorporated by reference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or any documents incorporated by reference is reliable and based on reasonable assumptions, such data involve material risks and other uncertainties and is subject to change based on various factors, including those described in “Part I, Item 1A. Risk Factors” in our </w:t>
      </w:r>
      <w:hyperlink r:id="rId3">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as such descriptions may be updated or amended in future filings we make with the SEC. These and other factors could cause results to differ materially from those expressed in the estimates made by the independent parties or by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in this prospectus supplement and the accompanying prospectus and documents incorporated by reference. It does not contain all of the information that may be important to you. You should read this entire prospectus supplement and the accompanying prospectus and documents incorporated by reference carefully, including the section titled “Risk Factors” and our historical consolidated financial statements and related notes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Carriage Services, Inc. is a leading provider of funeral and cemetery services and merchandise in the United States. We operate in two business segments: Funeral Home Operations and Cemetery Operations. We provide funeral and cemetery services and products on both an “at-need” ​(time of death) and “preneed” (planned prior to death)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Our cemeteries provide interment rights, related cemetery merchandise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March 31, 2026, we operated 155 funeral homes in 24 states and 28 cemeteries in 9 states. We compete with other publicly held, privately held and independent operators of funeral and cemetery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Carriage Services, Inc. was incorporated in the State of Delaware in December 1993.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3040 Post Oak Blvd., Suite 300, Houston, Texas 77056. Our telephone number is (713) 332-8400. Our website address is www.carriageservices.com. Information contained on our website is not a part of this prospectus supplement or the accompanying prospectus, and the inclusion of our website address in this prospectus supplement and the accompanying prospectus is an inactive textual reference only. You should not rely on any such information in making your investment decision. For additional information, see “Where You Can Find Additional Information; Incorporation By Reference.”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our common stock and the offering and is not intended to be complete. It does not contain all of the information that may be important to you. For a more complete understanding of our common stock, you should read this prospectus supplement, the accompanying prospectus, and the documents incorporated by reference.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Carriage Services, Inc. </w:t>
      </w:r>
    </w:p>
    <w:p>
      <w:pPr>
        <w:pStyle w:val="TextBody"/>
        <w:bidi w:val="0"/>
        <w:spacing w:lineRule="atLeast" w:line="240" w:before="8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having an aggregate offering price of up to $100,000,000. </w:t>
      </w:r>
    </w:p>
    <w:p>
      <w:pPr>
        <w:pStyle w:val="TextBody"/>
        <w:bidi w:val="0"/>
        <w:spacing w:lineRule="atLeast" w:line="240" w:before="8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17,988,282 shares (as more fully described in the notes following this table), assuming sales of 2,115,954 shares of our common stock in this offering at an assumed offering price of $47.26 per share, the last reported sale price of our common stock on NYSE on May 4, 2026. The actual number of shares issued will vary depending on how many shares of our common stock we choose to sell and the prices at which such sales occur. </w:t>
      </w:r>
    </w:p>
    <w:p>
      <w:pPr>
        <w:pStyle w:val="TextBody"/>
        <w:bidi w:val="0"/>
        <w:spacing w:lineRule="atLeast" w:line="240" w:before="8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475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 the market offering” as defined in Rule 415(a)(4) under the Securities Act, that may be made from time to time through or to the Sales Agents, as sales agents or principals under the Sales Agreement. See “Plan of Distribution” beginning on page </w:t>
      </w:r>
      <w:hyperlink w:anchor="tPOD">
        <w:r>
          <w:rPr>
            <w:rStyle w:val="InternetLink"/>
          </w:rPr>
          <w:t>S-9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8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this offering to fund potential acquisitions and for general corporate purposes, including debt repayments. See the section titled “Use of Proceeds” on page </w:t>
      </w:r>
      <w:hyperlink w:anchor="tUOP">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for common stock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the NYSE under the symbol “CSV”. </w:t>
      </w:r>
    </w:p>
    <w:p>
      <w:pPr>
        <w:pStyle w:val="TextBody"/>
        <w:bidi w:val="0"/>
        <w:spacing w:lineRule="atLeast" w:line="240" w:before="8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a high degree of risk. See “Risk Factors” beginning on page </w:t>
      </w:r>
      <w:hyperlink w:anchor="tRIFA">
        <w:r>
          <w:rPr>
            <w:rStyle w:val="InternetLink"/>
          </w:rPr>
          <w:t>S-3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under similar headings in other documents incorporated by reference in this prospectus supplement and the accompanying prospectus, for a discussion of factors you should carefully consider before investing in our common stock.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to be outstanding immediately after this offering is based on 15,872,328 shares of our common stock outstanding as of March 31, 2026, and excludes the following, in each case as of such date: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38,600 shares of common stock underlying options to purchase common stock granted under the Company’s Second Amended and Restated 2006 Long-Term Incentive Plan (the “Plan”); </w:t>
      </w:r>
      <w:r>
        <mc:AlternateContent>
          <mc:Choice Requires="wps">
            <w:drawing>
              <wp:anchor behindDoc="0" distT="635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226,719 shares of common stock underlying restricted stock units granted under the Company’s 2017 Omnibus Incentive Plan (the “2017 Omnibus Plan”); </w:t>
      </w:r>
      <w:r>
        <mc:AlternateContent>
          <mc:Choice Requires="wps">
            <w:drawing>
              <wp:anchor behindDoc="0" distT="635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788,838 shares of common stock underlying options to purchase common stock granted under the 2017 Omnibus Plan; </w:t>
      </w:r>
      <w:r>
        <mc:AlternateContent>
          <mc:Choice Requires="wps">
            <w:drawing>
              <wp:anchor behindDoc="0" distT="635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172,141 shares of common stock underlying performance stock units to purchase common stock granted under the 2017 Omnibus Plan; </w:t>
      </w:r>
      <w:r>
        <mc:AlternateContent>
          <mc:Choice Requires="wps">
            <w:drawing>
              <wp:anchor behindDoc="0" distT="635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2,707,421 shares of common stock authorized and reserved for future issuance under the 2017 Omnibus Plan; and </w:t>
      </w:r>
      <w:r>
        <mc:AlternateContent>
          <mc:Choice Requires="wps">
            <w:drawing>
              <wp:anchor behindDoc="0" distT="635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191,325 shares of common stock authorized and reserved for future issuance under the Amended and Restated Carriage Services, Inc. 2007 Employee Stock Purchase Plan. </w:t>
      </w:r>
      <w:r>
        <mc:AlternateContent>
          <mc:Choice Requires="wps">
            <w:drawing>
              <wp:anchor behindDoc="0" distT="635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Except as otherwise indicated, the information in this prospectus supplement assumes no exercise of the outstanding stock options and no vesting of the restricted stock units described above.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securities involves risks. You should carefully consider the risks, uncertainties and other factors described in our most recent </w:t>
      </w:r>
      <w:hyperlink r:id="rId4">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as supplemented and updated by subsequent Quarterly Reports on Form 10-Q and Current Reports on Form 8-K that we have filed or will file with the SEC, and in other documents which are incorporated by reference into this prospectus supplement, including the risk factors and other information contained in or incorporated by reference into this prospectus supplement before investing in any of our securities. Our business, financial condition, results of operations, cash flows or prospects could be materially adversely affected by any of these risks. The risks and uncertainties described in the documents incorporated by reference herein are not the only risks and uncertainties that we may face.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Common Stock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as to the use of proceeds from this offering and may not use the proceeds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from this offering to fund potential acquisitions and for general corporate purposes, including debt repayments. However, we have not determined the specific allocation of the net proceeds among these potential uses and have not designated the amount of net proceeds from this offering to be used for any particular purpose. Our management will have broad discretion over the use and investment of 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“Use of Proceeds” for more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actual number of shares of common stock we will issue under the Sales Agreement, at any one time or in total, is uncertain.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 placement notice to the Sales Agents at any time throughout the term of the Sales Agreement. The number of shares of common stock that are sold by the Sales Agents after our delivery of a placement notice will depend on the market price of the shares of common stock during the sales period and limits we set with the Sales Agents. Because the price per share of each share sold will fluctuate based on the market price of shares of our common stock during the sales period, it is not possible at this stage to predict the number of shares of common stock that will or may be ultimately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shares of common stock offered hereby will be sold in “at the market offerings,” and investors who buy common stock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of common stock in this offering at different times will likely pay different prices, and so may experience different outcomes in their investment results. We will have discretion, subject to market demand, to vary the timing, prices, and numbers of shares of common stock sold, and there is no minimum or maximum per share sales price. Investors may experience a decline in the value of their shares of common stock as a result of share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may offer additional shares of our common stock or other securities convertible into or exchangeable for our common stock at prices that may not be the same as the price per share in this offering, and our then-existing stockholders may experience dilution as a result. The price per share at which we sell additional shares of our common stock, or securities convertible or exchangeable into common stock, in future transactions may be higher or lower than the price per share paid by investors in this offering. Investors purchasing shares or other securities in the future could also have rights superior to existing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be volatile, and holders of our common stock could lose a significant portion of their investment if the market price of our common stock declines.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shares of our common stock may be highly volatile and could be subject to wide fluctuations. In addition, the trading volume in our shares of common stock may fluctuate and cause significant price variations to occur. There can be no assurance that the market price of our shares of common stock will not fluctuate or decline significantly in the future. Some of the factors that could negatively affect our share price or result in fluctuations in the price or trading volume of our shares of common stock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of competition;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commitments;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market valuations of similar companies;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management personnel;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institutional shareholders, including large block sales at a discount;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speculation in the press or investment community;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changes affecting our industry generally or our business;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market and economic conditions; and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sales of our shares of common stock or securities convertible into, or exchangeable or exercisable for, our shares of common stock.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stock market in general has experienced extreme price and volume fluctuations that may be unrelated or disproportionate to the operating performance of companies like us. These broad market and industry factors may materially reduce the market price of our common stock, regardless of our operating performance.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and information in this prospectus supplement, the accompanying prospectus and the documents incorporated by reference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find and retain skilled personnel;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our talent recruitment efforts, incentive and compensation plans and programs, including such effects on our Standards Operating Model and our operational and financial performance;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our strategic objectives and growth strategy, if at all;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timing, objectives, and expectations related to our 2030 Vision, if at all;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adverse effects on our business, financial, and equity performance if management fails to meet the expectations of its strategic objectives and growth plan;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our Standards Operating Model and strategic acquisition frameworks;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timing, objectives, and expectations of this offering, if at all, including the planned use of proceeds and the potentially dilutive effects to our stockholders of issuances under this offering;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number of deaths in our markets, which are not predictable from market to market or over the short term;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preferences and our ability to adapt to or meet those changes;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preneed sales, including implementing our cemetery portfolio sales strategy, product development and optimization plans;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investment performance of our funeral and cemetery trust funds;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interest rates, including, but not limited to, the effects of increased borrowing costs under our Credit Facility and our ability to minimize such costs, if at all;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inflation on our operational and financial performance, including the increased overall costs for our goods and services, the impact on customer preferences as a result of changes in discretionary income, and our ability, if at all, to mitigate such effects; </w:t>
      </w:r>
      <w:r>
        <mc:AlternateContent>
          <mc:Choice Requires="wps">
            <w:drawing>
              <wp:anchor behindDoc="0" distT="0" distB="0" distL="254000" distR="0" simplePos="0" locked="0" layoutInCell="1" allowOverlap="1" relativeHeight="32">
                <wp:simplePos x="0" y="0"/>
                <wp:positionH relativeFrom="column">
                  <wp:align>left</wp:align>
                </wp:positionH>
                <wp:positionV relativeFrom="line">
                  <wp:posOffset>635</wp:posOffset>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debt or equity financing on satisfactory terms to fund additional acquisitions, expansion projects, working capital requirements and the repayment or refinancing of indebtedness;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projected financial and performance guidance of our full year outlook, if at all;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timely and full payment of death benefits related to preneed funeral contracts funded through life insurance policies;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condition of third-party insurance companies that fund our preneed funeral contracts;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or unanticipated costs, such as merchandise, goods, insurance or taxes, and our ability to mitigate or minimize such costs, if at all;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level of indebtedness and the cash required to service our indebtedness;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federal income tax laws and regulations and the implementation and interpretation of these laws and regulations by the Internal Revenue Service, including changes and potential impacts, if any, resulting from the recently enacted One Big Beautiful Bill Act;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of the application of other applicable laws and regulations, including changes in such regulations or the interpretation thereof;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of epidemics and pandemics, including any new or emerging public health threats, on customer preferences and on our business;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social, business and other actions that have been and will be taken in response to pandemics and epidemics, including potential responses to any new or emerging public health threats;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and expense of litigation and burial practice claims;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consolidation of the funeral and cemetery industry;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and consummate strategic acquisitions on commercially reasonable terms and on a timely basis, if at all, and successfully integrate acquired businesses with our existing businesses, including expected performance and financial improvements related thereto;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complete any non-core asset divestitures on commercially reasonable terms and on a timely basis, if at all, and the impact of any such divestitures on our Company, including any financial, operational, tax or other similar impacts related thereto;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financial and stock market fluctuations;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weather events, natural disasters, or catastrophic events;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around, and disruption from, new and emerging technologies, such as artificial intelligence (“AI”) and generative AI, and the failure to adapt or successfully incorporate such technologies into the Company’s business;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interruptions or security lapses of our information technology, including any cybersecurity or ransomware incidents;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developments affecting the financial services industry;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acts of war or terrorists acts and the governmental or military response to such acts or conflicts; </w:t>
      </w:r>
      <w:r>
        <mc:AlternateContent>
          <mc:Choice Requires="wps">
            <w:drawing>
              <wp:anchor behindDoc="0" distT="0" distB="0" distL="254000" distR="0" simplePos="0" locked="0" layoutInCell="1" allowOverlap="1" relativeHeight="54">
                <wp:simplePos x="0" y="0"/>
                <wp:positionH relativeFrom="column">
                  <wp:align>left</wp:align>
                </wp:positionH>
                <wp:positionV relativeFrom="line">
                  <wp:posOffset>635</wp:posOffset>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maintain effective control over financial reporting;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funeral and cemetery industry.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management’s assumptions about future events may prove to be inaccurate. All readers are cautioned that the forward-looking statements contained in this prospectus supplement, the accompanying prospectus and in the documents we incorporate herein by reference are not guarantees of future performance, and we cannot assure any reader that such statements will be realized or that the forward-looking events and circumstances will occur.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results may differ materially from those anticipated or implied in the forward-looking statements due to factors described under the heading “Risk Factors” in this prospectus supplement, the accompanying prospectus and elsewhere in the documents we incorporate herein by reference. All forward-looking statements speak only as of the date they are made. We do not intend to update or revise any forward-looking statements as a result of new information, future events or otherwise. These cautionary statements qualify all forward-looking statements attributable to us or persons acting on our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retain broad discretion over the use of the net proceeds, if any, from the sale of the securities offered hereby. We may issue and sell shares of common stock having aggregate sales proceeds of up to $100,000,000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the Sales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by us of the securities to which this prospectus supplement relates to fund potential acquisitions and for general corporate purposes, including debt repayments.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of this prospectus supplement, we cannot specify with certainty all of the particular uses for the net proceeds, if any, to us from this offering. Accordingly, our management will have broad discretion in the timing and application of these proceeds. Pending the use of the net proceeds as described above, we may invest the proceeds in interest-bearing, investment-grade securities, certificates of deposit or government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the Sales Agreement with Oppenheimer and Raymond James, under which we may issue and sell from time to time shares of our common stock having an aggregate offering price of not more than $100,000,000 through Oppenheimer and Raymond James as our Sales Agents. Sales of the common stock, if any, will be made by any method permitted by law deemed to be an “at the market offering” as defined in Rule 415 promulgated under the Securities Act or in privately negotiated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will offer our common stock at prevailing market prices subject to the terms and conditions of the Sales Agreement as agreed upon by us and the Sales Agents.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Sales Agreement, the Sales Agents will use their commercially reasonable efforts, consistent with their sales and trading practices, to sell on our behalf all of the shares of common stock requested to be sold by us. We or the Sales Agent may suspend the offering of the common stock being made through the Sales Agents under the Sales Agreement upon proper notice to the other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placement notice, settlement for sales of our common stock will occur on the first trading day (or such earlier day as is industry practice for regular-way trading) following the time at which an acquiror of common stock entered into a contract, binding upon such acquiror, to acquire such common stock, in return for payment of the net proceeds to us. There is no arrangement for funds to be received in an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Sales Agents in cash, upon each sale of our shares of common stock pursuant to the Sales Agreement, a commission of up to 3.0% of the aggregate gross proceeds from such sale. Because there is no minimum offering amount required as a condition to this offering, the actual total public offering amount, commissions, and proceeds to us, if any, are not determinable at this time. Pursuant to the terms of the Sales Agreement, we agreed to reimburse the Sales Agents for the fees and disbursements of its counsel in an amount not to exceed (i) $100,000 in connection with the establishment of the “at the market offering” and (ii) thereafter, $15,000 on a quarterly basis, and amounts in excess thereof subject to our prior written consent. We estimate that the total expenses of the offering payable by us, excluding any commissions or expense reimbursements payable to the Sales Agents under the Sales Agreement, will be approximately $181,000. We will report the number of shares of common stock sold through the Sales Agents under the Sales Agreement, the net proceeds to us, and the compensation paid by us to the Sales Agents in connection with the sales of common stock at least quarterly.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common stock on our behalf, the Sales Agents will be deemed to be “underwriters” within the meaning of the Securities Act, and the compensation paid to the Sales Agents will be deemed to be underwriting commissions or discounts. We have agreed in the Sales Agreement to provide indemnification and contribution to the Sales Agents against certain liabilities, including liabilities under the Securities Act and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our shares of common stock pursuant to the Sales Agreement will terminate upon the earlier of the (i) sale of all of our shares of common stock provided for in this prospectus supplement or (ii) termination of the Sales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and their affiliates may in the future provide various investment banking and other financial services for us and our affiliates, for which services they may in the future receive customary fees. To the extent required by Regulation M, the Sales Agents will not engage in any market making activities involving shares of our common stock while the offering is ongoing under this prospectus supplement. This summary of the material provisions of the Sales Agreement does not purport to be a complete statement of its terms and conditions. We are filing a copy of the Sales Agreement with the SEC as an exhibit to a Current Report on Form 8-K concurrently with the filing of this prospectus supplement. The Sales Agreement is incorporated by reference into this prospectus supplement and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LEMA"/>
      <w:bookmarkEnd w:id="10"/>
      <w:r>
        <w:rPr>
          <w:rFonts w:ascii="calibri;arial;sans-serif" w:hAnsi="calibri;arial;sans-serif"/>
          <w:b w:val="false"/>
          <w:i w:val="false"/>
          <w:caps w:val="false"/>
          <w:smallCaps w:val="false"/>
          <w:color w:val="000000"/>
          <w:sz w:val="16"/>
        </w:rPr>
        <w:t>​</w:t>
      </w:r>
      <w:bookmarkStart w:id="11" w:name="tEX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common stock offered hereby will be passed upon for us by Porter Hedges LLP, Houston, Texas. The Sales Agents are being represented in connection with this offering by Mintz, Levin, Cohn, Ferris, Glovsky and Popeo, P.C.,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WYC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WHERE YOU CAN FIND MORE INFORMATION;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with respect to, among other securities, the shares of common stock offered by this prospectus supplement and accompanying prospectus. This prospectus supplement and the accompanying prospectus do not contain all of the information included in the registration statement. For further information pertaining to us and our common stock we are offering under this prospectus supplement and the accompanying prospectus, you should refer to the registration statement and its exhibits. Statements contained in this prospectus supplement and the accompanying prospectus concerning any of our contracts, agreements or other documents are not necessarily complete. If a contract or document has been filed as an exhibit to the registration statement, we refer you to the copy of the contract or document that has been filed. Each statement in this prospectus supplement and the accompanying prospectus relating to a contract or document filed as an exhibit is qualified in all respects by the filed exhibit.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and file annual, quarterly and current reports and other information with the SEC. Our filings with the SEC are available to the public on the SEC’s website at http://www.sec.gov. You may access these materials free of charge as soon as reasonably practicable after they are electronically filed with or furnished to the SEC. Those filings are also available to the public on, or accessible through, our website at www.carriageservices.com. The information on our web site, however, is not, and should not be deemed to be, a part of this prospectus supplement and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accompanying prospectus, and subsequent information that we file with the SEC will automatically update and supersede that information. Any statement contained in this prospectus supplement and accompanying prospectus or a previously filed document incorporated by reference will be deemed to be modified or superseded for purposes of this prospectus to the extent that a statement contained in this prospectus supplement and accompanying prospectus or a subsequently filed document incorporated by reference modifies or replaces that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incorporate by reference the documents set forth below that have previously been filed with the SEC: </w:t>
      </w:r>
    </w:p>
    <w:p>
      <w:pPr>
        <w:pStyle w:val="TextBody"/>
        <w:bidi w:val="0"/>
        <w:spacing w:lineRule="atLeast" w:line="240" w:before="11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5">
        <w:r>
          <w:rPr>
            <w:rStyle w:val="InternetLink"/>
          </w:rPr>
          <w:t>Annual Report on Form 10-K for the fiscal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6">
        <w:r>
          <w:rPr>
            <w:rStyle w:val="InternetLink"/>
          </w:rPr>
          <w:t>Definitive Proxy Statement on Schedule 14A filed with the SEC on March 27, 2026</w:t>
        </w:r>
      </w:hyperlink>
      <w:r>
        <w:rPr>
          <w:rFonts w:ascii="Times New Roman;Times;serif" w:hAnsi="Times New Roman;Times;serif"/>
          <w:b w:val="false"/>
          <w:i w:val="false"/>
          <w:caps w:val="false"/>
          <w:smallCaps w:val="false"/>
          <w:color w:val="000000"/>
          <w:spacing w:val="4"/>
          <w:sz w:val="20"/>
        </w:rPr>
        <w:t xml:space="preserve">, incorporated by reference therein;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val="false"/>
          <w:caps w:val="false"/>
          <w:smallCaps w:val="false"/>
          <w:color w:val="000000"/>
          <w:spacing w:val="4"/>
          <w:sz w:val="20"/>
        </w:rPr>
        <w:t xml:space="preserve">A description of our common stock contained in our registration statement on </w:t>
      </w:r>
      <w:hyperlink r:id="rId7">
        <w:r>
          <w:rPr>
            <w:rStyle w:val="InternetLink"/>
          </w:rPr>
          <w:t>Form 8, filed with the SEC on December 4, 2002</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(two filings)</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including </w:t>
      </w:r>
      <w:hyperlink r:id="rId9">
        <w:r>
          <w:rPr>
            <w:rStyle w:val="InternetLink"/>
          </w:rPr>
          <w:t>Exhibit 4.10</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2021, filed with the SEC on March 2, 2022; and </w:t>
      </w:r>
      <w:r>
        <mc:AlternateContent>
          <mc:Choice Requires="wps">
            <w:drawing>
              <wp:anchor behindDoc="0" distT="7239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0">
        <w:r>
          <w:rPr>
            <w:rStyle w:val="InternetLink"/>
          </w:rPr>
          <w:t>Current Reports on Form 8-K filed with the SEC on January 16, 2026</w:t>
        </w:r>
      </w:hyperlink>
      <w:r>
        <w:rPr>
          <w:rFonts w:ascii="Times New Roman;Times;serif" w:hAnsi="Times New Roman;Times;serif"/>
          <w:b w:val="false"/>
          <w:i w:val="false"/>
          <w:caps w:val="false"/>
          <w:smallCaps w:val="false"/>
          <w:color w:val="000000"/>
          <w:spacing w:val="4"/>
          <w:sz w:val="20"/>
        </w:rPr>
        <w:t xml:space="preserve"> (excluding any information furnished pursuant to Item 2.02 or Item 7.01, or any corresponding information furnished under Item 9.01, of any such Current Report on Form 8-K). </w:t>
      </w:r>
      <w:r>
        <mc:AlternateContent>
          <mc:Choice Requires="wps">
            <w:drawing>
              <wp:anchor behindDoc="0" distT="723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Securities Exchange Act of 1934, as amended,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deemed to be part of this prospectus supplement from the date of the filing of such reports and documents. </w:t>
      </w:r>
      <w:r>
        <mc:AlternateContent>
          <mc:Choice Requires="wps">
            <w:drawing>
              <wp:anchor behindDoc="0" distT="7239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supplement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Carriage Services,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3040 Post Oak Blvd.,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332-8400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supplement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CARRIAGE SERVICES,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$350,000,000</w:t>
      </w:r>
      <w:r>
        <w:rPr>
          <w:rFonts w:ascii="Times New Roman;Times;serif" w:hAnsi="Times New Roman;Times;serif"/>
          <w:b/>
          <w:i w:val="false"/>
          <w:caps w:val="false"/>
          <w:smallCaps w:val="false"/>
          <w:color w:val="000000"/>
          <w:spacing w:val="6"/>
          <w:sz w:val="32"/>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3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Subscription Rights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Guarantees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from time to time debt securities, shares of our common stock, shares of our preferred stock, depositary shares, warrants, subscription rights, purchase contracts and units that may include any of these securities. Debt securities we issue under this prospectus may be guaranteed by certain of our subsidiaries.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offering price of the securities that we offer will not exceed $350,000,000. We will offer the securities in amounts, at prices and on terms to be determined at the time of the offering.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quoted on the New York Stock Exchange under the symbol “CSV.” The last reported sale price of our common stock on April 23, 2026 was $50.48 per share.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on a continuous or delayed basis. We will provide the specific terms of offerings of these securities in supplements to this prospectus. You should read this prospectus and any supplement carefully before you invest. This prospectus may not be used to offer and sell our securities unless accompanied by a prospectus supplement. </w:t>
      </w:r>
    </w:p>
    <w:p>
      <w:pPr>
        <w:pStyle w:val="TextBody"/>
        <w:bidi w:val="0"/>
        <w:spacing w:lineRule="atLeast" w:line="280" w:before="240" w:after="283"/>
        <w:ind w:left="1393" w:right="0" w:firstLine="400"/>
        <w:jc w:val="left"/>
        <w:rPr/>
      </w:pPr>
      <w:r>
        <w:rPr>
          <w:rFonts w:ascii="Times New Roman;Times;serif" w:hAnsi="Times New Roman;Times;serif"/>
          <w:b/>
          <w:i w:val="false"/>
          <w:caps w:val="false"/>
          <w:smallCaps w:val="false"/>
          <w:color w:val="000000"/>
          <w:spacing w:val="-5"/>
          <w:sz w:val="24"/>
        </w:rPr>
        <w:t>Investing in our securities involves significant risks that are described in the “Risk Factors” section beginning on page </w:t>
      </w:r>
      <w:hyperlink w:anchor="bRIFA">
        <w:r>
          <w:rPr>
            <w:rStyle w:val="InternetLink"/>
          </w:rPr>
          <w:t>6</w:t>
        </w:r>
      </w:hyperlink>
      <w:r>
        <w:rPr>
          <w:rFonts w:ascii="Times New Roman;Times;serif" w:hAnsi="Times New Roman;Times;serif"/>
          <w:b/>
          <w:i w:val="false"/>
          <w:caps w:val="false"/>
          <w:smallCaps w:val="false"/>
          <w:color w:val="000000"/>
          <w:spacing w:val="-5"/>
          <w:sz w:val="24"/>
        </w:rPr>
        <w:t xml:space="preserve"> of this prospectus and any accompanying prospectus supplement and any other document incorporated by reference herein and therein.</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April 27,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OC3"/>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CSI">
              <w:r>
                <w:rPr>
                  <w:rStyle w:val="InternetLink"/>
                  <w:spacing w:val="4"/>
                </w:rPr>
                <w:t xml:space="preserve">CARRIAGE SERVICES,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CSI">
              <w:r>
                <w:rPr>
                  <w:rStyle w:val="InternetLink"/>
                  <w:spacing w:val="4"/>
                </w:rPr>
                <w:t>1</w:t>
              </w:r>
            </w:hyperlink>
            <w:hyperlink w:anchor="bCS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CNRF">
              <w:r>
                <w:rPr>
                  <w:rStyle w:val="InternetLink"/>
                  <w:spacing w:val="4"/>
                </w:rPr>
                <w:t>2</w:t>
              </w:r>
            </w:hyperlink>
            <w:hyperlink w:anchor="b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WYCF">
              <w:r>
                <w:rPr>
                  <w:rStyle w:val="InternetLink"/>
                  <w:spacing w:val="4"/>
                </w:rPr>
                <w:t>5</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5</w:t>
              </w:r>
            </w:hyperlink>
            <w:hyperlink w:anchor="b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RIFA">
              <w:r>
                <w:rPr>
                  <w:rStyle w:val="InternetLink"/>
                  <w:spacing w:val="4"/>
                </w:rPr>
                <w:t>6</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7</w:t>
              </w:r>
            </w:hyperlink>
            <w:hyperlink w:anchor="b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DS">
              <w:r>
                <w:rPr>
                  <w:rStyle w:val="InternetLink"/>
                  <w:spacing w:val="4"/>
                </w:rPr>
                <w:t>8</w:t>
              </w:r>
            </w:hyperlink>
            <w:hyperlink w:anchor="b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CS">
              <w:r>
                <w:rPr>
                  <w:rStyle w:val="InternetLink"/>
                  <w:spacing w:val="4"/>
                </w:rPr>
                <w:t>18</w:t>
              </w:r>
            </w:hyperlink>
            <w:hyperlink w:anchor="b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DS1">
              <w:r>
                <w:rPr>
                  <w:rStyle w:val="InternetLink"/>
                  <w:spacing w:val="4"/>
                </w:rPr>
                <w:t xml:space="preserve">DESCRIPTION OF DEPOSITARY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DS1">
              <w:r>
                <w:rPr>
                  <w:rStyle w:val="InternetLink"/>
                  <w:spacing w:val="4"/>
                </w:rPr>
                <w:t>22</w:t>
              </w:r>
            </w:hyperlink>
            <w:hyperlink w:anchor="bDOD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W">
              <w:r>
                <w:rPr>
                  <w:rStyle w:val="InternetLink"/>
                  <w:spacing w:val="4"/>
                </w:rPr>
                <w:t>24</w:t>
              </w:r>
            </w:hyperlink>
            <w:hyperlink w:anchor="b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SR">
              <w:r>
                <w:rPr>
                  <w:rStyle w:val="InternetLink"/>
                  <w:spacing w:val="4"/>
                </w:rPr>
                <w:t xml:space="preserve">DESCRIPTION OF SUBSCRIPTION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SR">
              <w:r>
                <w:rPr>
                  <w:rStyle w:val="InternetLink"/>
                  <w:spacing w:val="4"/>
                </w:rPr>
                <w:t>26</w:t>
              </w:r>
            </w:hyperlink>
            <w:hyperlink w:anchor="bDO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PC">
              <w:r>
                <w:rPr>
                  <w:rStyle w:val="InternetLink"/>
                  <w:spacing w:val="4"/>
                </w:rPr>
                <w:t xml:space="preserve">DESCRIPTION OF PURCHASE CONTRACTS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PC">
              <w:r>
                <w:rPr>
                  <w:rStyle w:val="InternetLink"/>
                  <w:spacing w:val="4"/>
                </w:rPr>
                <w:t>27</w:t>
              </w:r>
            </w:hyperlink>
            <w:hyperlink w:anchor="b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U">
              <w:r>
                <w:rPr>
                  <w:rStyle w:val="InternetLink"/>
                  <w:spacing w:val="4"/>
                </w:rPr>
                <w:t>28</w:t>
              </w:r>
            </w:hyperlink>
            <w:hyperlink w:anchor="b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FOS">
              <w:r>
                <w:rPr>
                  <w:rStyle w:val="InternetLink"/>
                  <w:spacing w:val="4"/>
                </w:rPr>
                <w:t>29</w:t>
              </w:r>
            </w:hyperlink>
            <w:hyperlink w:anchor="bF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POD">
              <w:r>
                <w:rPr>
                  <w:rStyle w:val="InternetLink"/>
                  <w:spacing w:val="4"/>
                </w:rPr>
                <w:t>31</w:t>
              </w:r>
            </w:hyperlink>
            <w:hyperlink w:anchor="b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LEMA">
              <w:r>
                <w:rPr>
                  <w:rStyle w:val="InternetLink"/>
                  <w:spacing w:val="4"/>
                </w:rPr>
                <w:t>34</w:t>
              </w:r>
            </w:hyperlink>
            <w:hyperlink w:anchor="b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EXP">
              <w:r>
                <w:rPr>
                  <w:rStyle w:val="InternetLink"/>
                  <w:spacing w:val="4"/>
                </w:rPr>
                <w:t>34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bAT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(or the “Commission” or the “SEC”) as a “well-known seasoned issuer” as defined in Rule 405 under the Securities Act of 1933, as amended (the “Securities Act”). Under this shelf registration process, we may sell any combination of the securities described in this prospectus in one or more offerings up to an aggregate dollar amount of $350 million.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CSI"/>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CARRIAGE SERVICES,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the terms “we,” “us,” “our” and the “Company” mean Carriage Services, Inc., a Delaware corporation, and its consolidated subsidiaries, unless the context indicates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Carriage Services, Inc. was incorporated in the State of Delaware in December 1993 and is a leading provider of funeral and cemetery services and merchandise in the United States. We operate in two business segments: Funeral Home Operations, which accounts for approximately 65% of our total revenue, and Cemetery Operations, which accounts for approximately 35% of our total revenue, as of December 31,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funeral and cemetery services and products on both an “atneed” ​(time of death) and “preneed” ​(planned prior to death)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Funeral home and cemetery businesses provide products and services to families in three principal areas: (i) ceremony and tribute, generally in the form of a funeral or memorial service; (ii) care of remains, either through burial or cremation; and (iii) memorialization, generally through monuments, markers, or inscriptions.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cemeteries provide interment rights (primarily grave sites, lawn crypts, mausoleum spaces, and niches), related cemetery merchandise (such as memorial markers, outer burial containers, and monuments) and services (interments, inurnments, and installation of cemetery merchandise).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December 31, 2025, we operated 155 funeral homes in 24 states and 28 cemeteries in 9 states. We compete with other publicly held, privately held and independent operators of funeral and cemetery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3040 Post Oak Blvd., Suite 300, Houston, Texas 77056. Our telephone number is (713) 332-8400. Our website is located at www.carriageservices.com. Information on our website does not constitute part of this prospectus and should not be relied upon in connection with making any decision with respect to an investment in our securities. We are required to file annual, quarterly and current reports, proxy statements and other information with the SEC. Our filings with the SEC are available to the public from commercial document retrieval services and at the SEC’s website at www.sec.gov.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C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Certain statements in this prospectus and in the documents we incorporate by reference herein may constitute “forward-looking” statements as defined in Section 27A of the Securities Act, Section 21E of the Securities Exchange Act of 1934, as amended (the “Exchange Act”), the Private Securities Litigation Reform Act of 1995 (“PSLRA”), or in releases made by the SEC, all as may be amended from time to time. Such forward-looking statements involve known and unknown risks, uncertainties and other important factors that could cause actual results, performance or achievements of Carriage and our subsidiaries to differ materially from any future results, performance or achievements expressed or implied by such forward-looking statements. All statements, other than statements of historical information, should be deemed to be forward-looking statements. Forward-looking statements can be identified by, among other things, the use of forward-looking language, such as the words “plan,” “believe,” “expect,” “anticipate,” “intend,” “estimate,” “project,” “may,” “will,” “would,” “foresee,” “could,” “should,” “seeks,”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When considering these forward-looking statements, you should keep in mind the risk factors and other cautionary statements included in this prospectus and the documents we incorporate by reference herein. Please read “Risk Factors” beginning on page </w:t>
      </w:r>
      <w:hyperlink w:anchor="bRIFA">
        <w:r>
          <w:rPr>
            <w:rStyle w:val="InternetLink"/>
          </w:rPr>
          <w:t>6</w:t>
        </w:r>
      </w:hyperlink>
      <w:r>
        <w:rPr>
          <w:rFonts w:ascii="Times New Roman;Times;serif" w:hAnsi="Times New Roman;Times;serif"/>
          <w:b w:val="false"/>
          <w:i w:val="false"/>
          <w:caps w:val="false"/>
          <w:smallCaps w:val="false"/>
          <w:color w:val="000000"/>
          <w:spacing w:val="4"/>
          <w:sz w:val="20"/>
        </w:rPr>
        <w:t xml:space="preserve"> of this prospectus. The risk factors and other factors noted throughout this prospectus and in the documents incorporated by reference could cause our actual results to differ materially from those contained in any forward-looking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prospectus and in the documents we incorporate herein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find and retain skilled personnel;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our talent recruitment efforts, incentive and compensation plans and programs, including such effects on our Standards Operating Model and our operational and financial performance;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our strategic objectives and growth strategy, if at all;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timing, objectives, and expectations related to our 2030 Vision, if at all;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adverse effects on our business, financial, and equity performance if management fails to meet the expectations of its strategic objectives and growth plan;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our Standards Operating Model and strategic acquisition frameworks;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number of deaths in our markets, which are not predictable from market to market or over the short term;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preferences and our ability to adapt to or meet those changes;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preneed sales, including implementing our cemetery portfolio sales strategy, product development and optimization plans;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investment performance of our funeral and cemetery trust funds;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interest rates, including, but not limited to, the effects of increased borrowing costs under our Credit Facility and our ability to minimize such costs, if at all;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inflation on our operational and financial performance, including the increased overall costs for our goods and services, the impact on customer preferences as a result of changes in discretionary income, and our ability, if at all, to mitigate such effects;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debt or equity financing on satisfactory terms to fund additional acquisitions, expansion projects, working capital requirements and the repayment or refinancing of indebtedness; </w:t>
      </w:r>
      <w:r>
        <mc:AlternateContent>
          <mc:Choice Requires="wps">
            <w:drawing>
              <wp:anchor behindDoc="0" distT="0" distB="0" distL="254000" distR="0" simplePos="0" locked="0" layoutInCell="1" allowOverlap="1" relativeHeight="74">
                <wp:simplePos x="0" y="0"/>
                <wp:positionH relativeFrom="column">
                  <wp:align>left</wp:align>
                </wp:positionH>
                <wp:positionV relativeFrom="line">
                  <wp:posOffset>635</wp:posOffset>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the projected financial and performance guidance of our full year outlook, if at all;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timely and full payment of death benefits related to preneed funeral contracts funded through life insurance policies;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condition of third-party insurance companies that fund our preneed funeral contracts;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or unanticipated costs, such as merchandise, goods, insurance or taxes, and our ability to mitigate or minimize such costs, if at all;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level of indebtedness and the cash required to service our indebtedness; </w:t>
      </w:r>
      <w:r>
        <mc:AlternateContent>
          <mc:Choice Requires="wps">
            <w:drawing>
              <wp:anchor behindDoc="0" distT="7239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federal income tax laws and regulations and the implementation and interpretation of these laws and regulations by the Internal Revenue Service, including changes and potential impacts, if any, resulting from the recently enacted One Big Beautiful Bill Act; </w:t>
      </w:r>
      <w:r>
        <mc:AlternateContent>
          <mc:Choice Requires="wps">
            <w:drawing>
              <wp:anchor behindDoc="0" distT="7239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of the application of other applicable laws and regulations, including changes in such regulations or the interpretation thereof; </w:t>
      </w:r>
      <w:r>
        <mc:AlternateContent>
          <mc:Choice Requires="wps">
            <w:drawing>
              <wp:anchor behindDoc="0" distT="7239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of epidemics and pandemics, including any new or emerging public health threats, on customer preferences and on our business; </w:t>
      </w:r>
      <w:r>
        <mc:AlternateContent>
          <mc:Choice Requires="wps">
            <w:drawing>
              <wp:anchor behindDoc="0" distT="723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social, business and other actions that have been and will be taken in response to pandemics and epidemics, including potential responses to any new or emerging public health threats;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and expense of litigation and burial practice claims;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consolidation of the funeral and cemetery industry;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and consummate strategic acquisitions on commercially reasonable terms and on a timely basis, if at all, and successfully integrate acquired businesses with our existing businesses, including expected performance and financial improvements related thereto;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complete any non-core asset divestitures on commercially reasonable terms and on a timely basis, if at all, and the impact of any such divestitures on our Company, including any financial, operational, tax or other similar impacts related thereto;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financial and stock market fluctuations;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weather events, natural disasters, or catastrophic events;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around, and disruption from, new and emerging technologies, such as artificial intelligence (“AI”) and generative AI, and the failure to adapt or successfully incorporate such technologies into the Company’s business;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interruptions or security lapses of our information technology, including any cybersecurity or ransomware incidents; </w:t>
      </w:r>
      <w:r>
        <mc:AlternateContent>
          <mc:Choice Requires="wps">
            <w:drawing>
              <wp:anchor behindDoc="0" distT="7239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developments affecting the financial services industry;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war or terrorists acts and the governmental or military response to such acts;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maintain effective control over financial reporting; and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funeral and cemetery industry.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management’s assumptions about future events may prove to be inaccurate. All readers are cautioned that the forward-looking statements contained in this prospectus and in the documents we incorporate herein by reference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under the heading “Risk Factors” in this prospectus and elsewhere in the documents we incorporate herein by reference. All forward-looking statements speak only as of the date they are made. We do not intend to update or revise any forward-looking statements as a result of new information, future events or otherwise. These cautionary statements qualify all forward-looking statements attributable to us or persons acting on our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WYCF"/>
      <w:bookmarkEnd w:id="17"/>
      <w:r>
        <w:rPr>
          <w:rFonts w:ascii="calibri;arial;sans-serif" w:hAnsi="calibri;arial;sans-serif"/>
          <w:b w:val="false"/>
          <w:i w:val="false"/>
          <w:caps w:val="false"/>
          <w:smallCaps w:val="false"/>
          <w:color w:val="000000"/>
          <w:sz w:val="16"/>
        </w:rPr>
        <w:t>​</w:t>
      </w:r>
      <w:bookmarkStart w:id="18" w:name="bIOC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Statements in this prospectus and any applicable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The SEC maintains a website on the Internet at www.sec.gov that contains reports, proxy and information statements, and other information regarding companies that file electronically with the SEC. We maintain a website on the Internet at www.carriageservices.com. Our registration statement, of which this prospectus constitutes a part, can be downloaded from the SEC’s website or from our website at www.carriageservices.com. Information on the SEC website, our website or any other website is not incorporated by reference in this prospectus and does not constitute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into this prospectus the information we file with the SEC, which means that we can disclose important information to you by referring you to that information. The information incorporated by reference is considered to be part of this prospectus, and later information that we file with the SEC will automatically update and supersede that information. We incorporate by reference the documents listed below: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1">
        <w:r>
          <w:rPr>
            <w:rStyle w:val="InternetLink"/>
          </w:rPr>
          <w:t>Annual Report on Form 10-K for the fiscal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12">
        <w:r>
          <w:rPr>
            <w:rStyle w:val="InternetLink"/>
          </w:rPr>
          <w:t>Definitive Proxy Statement on Schedule 14A filed with the SEC on March 27, 2026</w:t>
        </w:r>
      </w:hyperlink>
      <w:r>
        <w:rPr>
          <w:rFonts w:ascii="Times New Roman;Times;serif" w:hAnsi="Times New Roman;Times;serif"/>
          <w:b w:val="false"/>
          <w:i w:val="false"/>
          <w:caps w:val="false"/>
          <w:smallCaps w:val="false"/>
          <w:color w:val="000000"/>
          <w:spacing w:val="4"/>
          <w:sz w:val="20"/>
        </w:rPr>
        <w:t xml:space="preserve">, incorporated by reference therein;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A description of our common stock contained in our registration statement on </w:t>
      </w:r>
      <w:hyperlink r:id="rId13">
        <w:r>
          <w:rPr>
            <w:rStyle w:val="InternetLink"/>
          </w:rPr>
          <w:t>Form 8, filed with the SEC on December 4, 2002</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including </w:t>
      </w:r>
      <w:hyperlink r:id="rId14">
        <w:r>
          <w:rPr>
            <w:rStyle w:val="InternetLink"/>
          </w:rPr>
          <w:t>Exhibit 4.10</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2021, filed with the SEC on March 2, 2022; and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5">
        <w:r>
          <w:rPr>
            <w:rStyle w:val="InternetLink"/>
          </w:rPr>
          <w:t>Current Report on Form 8-K filed with the SEC on January 16, 2026</w:t>
        </w:r>
      </w:hyperlink>
      <w:r>
        <w:rPr>
          <w:rFonts w:ascii="Times New Roman;Times;serif" w:hAnsi="Times New Roman;Times;serif"/>
          <w:b w:val="false"/>
          <w:i w:val="false"/>
          <w:caps w:val="false"/>
          <w:smallCaps w:val="false"/>
          <w:color w:val="000000"/>
          <w:spacing w:val="4"/>
          <w:sz w:val="20"/>
        </w:rPr>
        <w:t xml:space="preserve"> (excluding any information furnished pursuant to Item 2.02 or Item 7.01, or any corresponding information furnished under Item 9.01, of any such Current Report on Form 8-K).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or 15(d) of the Exchange Act (excluding any information furnished pursuant to Item 2.02 or Item 7.01, or any corresponding information furnished under Item 9.01, on any Current Report on Form 8-K) after the date of this prospectus and prior to the termination of each offering under this prospectus shall be deemed to be incorporated in this prospectus by reference and to be a part hereof from the date of filing of such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this prospectus or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modifies or supersedes the statement. Any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incorporates documents by reference that are not delivered with this prospectus. Copies of these documents, other than the exhibits to the documents (unless such exhibits are specifically incorporated by reference in such documents), are available upon written or oral request, at no charge, from us. Requests for such copies should be directed to Carriage Services, Inc., 3040 Post Oak Blvd., Suite 300, Houston, Texas 77056; telephone number (713) 332-8400.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RI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You should carefully consider the risk factors and all of the other information included in, or incorporated by reference into, this prospectus, including those risk factors included in our </w:t>
      </w:r>
      <w:hyperlink r:id="rId1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our subsequent Quarterly Reports on Form 10-Q or our current reports on Form 8-K filed with the SEC, all of which are incorporated herein by reference, and which may be amended, supplemented or superseded from time to time by other reports we file with the Commission,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 The risks and uncertainties we have described are not the only ones we face. Additional risks and uncertainties not presently known to us or that we currently deem immaterial may also affect our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UO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we inform you otherwise in the prospectus supplement or any pricing supplement, we will use the net proceeds from the sale of the securities offered by us for general corporate purposes. These purposes may include capital expenditures, repayment or refinancing of indebtedness, acquisitions and repurchases and redemptions of securities. Pending any specific application, we may initially invest funds in short-term marketable securities or apply them to the reduction of indebtedness.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DODS"/>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consisting of notes, debentures or other evidences of indebtedness, may be issued from time to time in one or more series: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senior debt securities, under a senior indenture to be entered into among us, the guarantors of those securities, if any, and a trustee we will identify in a prospectus supplement; and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debt securities, under a subordinated indenture to be entered into among us, the guarantors of those securities, if any, and a trustee we will identify in a prospectus supplement.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senior indenture or subordinated indenture will be substantially in the form included as exhibits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following is only a summary of the indentures and the debt securities, it does not contain all information that you may find useful. For further information about the indentures and the debt securities, we urge you to read the indentures, the forms of securities, the applicable prospectus supplements and the applicable supplemental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section of the prospectus and under the captions “Description of Capital Stock,” “Description of Depositary Shares,” “Description of Warrants,” “Description of Subscription Rights,” “Description of Purchase Contracts,” and “Description of Units,” the terms “we,” “us,” “our,” the “Company” and “Carriage” mean Carriage Services, Inc. only, and not the subsidiaries of Carriage Services, Inc. Capitalized terms not otherwise defined in this Description of Debt Securities have the meanings given to them in the aforementioned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 prospectus supplement, any debt securities we offer will be our direct, unsecured general obligations. The debt securities will be either senior debt securities or subordinated debt securities, either of which may be issued in registered or global form. The senior debt securities will rank equally with all of our other senior and unsubordinated debt. The subordinated debt securities will be subordinated in right of payment to certain of our senior debt. In general, this means that if we declare bankruptcy, holders of the senior debt securities and certain other senior debt will be paid in full before the holders of subordinated debt securities will receive any payment on their securities. Non-convertible debt securities may be fully, irrevocably and unconditionally guaranteed, on a joint and several basis, by some or all of our subsidiaries, other than “minor” subsidiaries as such term is interpreted in securities regulations governing financial reporting for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through our subsidiaries. Consequently, our ability to repay our obligations, including our obligation to pay interest on the debt securities, to repay the principal amount of the debt securities at maturity or upon redemption, or to buy back the securities, depends to a certain extent upon our ability to receive cash flow from our subsidiaries. That is, we will depend upon our subsidiaries’ earnings and their distributions of those earnings to us, and upon our subsidiaries repayment of investments and advances we have made to them to meet our obligations under the debt securities and our other obligations. Our subsidiaries are separate and distinct legal entities and, except to the extent our subsidiaries guarantee the non-convertible debt securities, have no obligation, contingent or otherwise, to pay any amounts due on the debt securities or to make funds available to us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debt securities will be effectively subordinated to all existing and future secured indebtedness of our subsidiaries and us and to all existing and future indebtedness of all non-guarantor subsidiaries. This means that our rights and the rights of our creditors, including the holders of our debt securities, to receive any of the cash or other assets of any subsidiary upon its liquidation or reorganization or otherwise are necessarily subject to the superior claims of creditors of the subsidiary, except to the extent that we or our creditors may be recognized as creditors of the subsidiary. Our subsidiaries’ ability to pay dividends or make other payments or advances to us will also depend upon their operating results and will be subject to applicable laws and contractual restrictions. Unless otherwise specified in an applicable prospectus supplement, the indentures do not limit our subsidiaries’ ability to enter into other agreements that prohibit or restrict dividends or other payments or advances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do not limit the aggregate principal amount of debt securities that can be issued. The debt securities may be issued in one or more series as we may authorize from time to time. A prospectus supplement and a supplemental indenture relating to the offering of a particular series of debt securities will set forth the specific terms of the offered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terms will include some or all of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and whether they are subordinated debt securities or senior debt securities;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8255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issue additional debt securities of the same series; </w:t>
      </w:r>
      <w:r>
        <mc:AlternateContent>
          <mc:Choice Requires="wps">
            <w:drawing>
              <wp:anchor behindDoc="0" distT="8255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sell the debt securities; </w:t>
      </w:r>
      <w:r>
        <mc:AlternateContent>
          <mc:Choice Requires="wps">
            <w:drawing>
              <wp:anchor behindDoc="0" distT="8255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w:t>
      </w:r>
      <w:r>
        <mc:AlternateContent>
          <mc:Choice Requires="wps">
            <w:drawing>
              <wp:anchor behindDoc="0" distT="8255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of interest, if any, which may be fixed or variable, at which the debt securities will bear interest, or the method of determining such rate or rates, if any; </w:t>
      </w:r>
      <w:r>
        <mc:AlternateContent>
          <mc:Choice Requires="wps">
            <w:drawing>
              <wp:anchor behindDoc="0" distT="8255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or the method by which such date or dates will be determined; </w:t>
      </w:r>
      <w:r>
        <mc:AlternateContent>
          <mc:Choice Requires="wps">
            <w:drawing>
              <wp:anchor behindDoc="0" distT="8255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discount debt securities, the rate of accretion of principal, which may be fixed or variable, or the method of determining such rate, and the date or dates from which principal will accrete or the method by which such date or dates will be determined; </w:t>
      </w:r>
      <w:r>
        <mc:AlternateContent>
          <mc:Choice Requires="wps">
            <w:drawing>
              <wp:anchor behindDoc="0" distT="8255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any such deferral period, including the maximum consecutive period during which interest payment periods may be extended; </w:t>
      </w:r>
      <w:r>
        <mc:AlternateContent>
          <mc:Choice Requires="wps">
            <w:drawing>
              <wp:anchor behindDoc="0" distT="825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we will pay interest on the debt securities and the regular record date for determining who is entitled to the interest payable on any interest payment date; </w:t>
      </w:r>
      <w:r>
        <mc:AlternateContent>
          <mc:Choice Requires="wps">
            <w:drawing>
              <wp:anchor behindDoc="0" distT="825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 </w:t>
      </w:r>
      <w:r>
        <mc:AlternateContent>
          <mc:Choice Requires="wps">
            <w:drawing>
              <wp:anchor behindDoc="0" distT="8255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possess the option to do so, the periods within which and the prices at which we may redeem the debt securities, in whole or in part, pursuant to optional redemption provisions, and the other terms and conditions of any such provisions; </w:t>
      </w:r>
      <w:r>
        <mc:AlternateContent>
          <mc:Choice Requires="wps">
            <w:drawing>
              <wp:anchor behindDoc="0" distT="8255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 </w:t>
      </w:r>
      <w:r>
        <mc:AlternateContent>
          <mc:Choice Requires="wps">
            <w:drawing>
              <wp:anchor behindDoc="0" distT="8255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integral multiples of $1,000; </w:t>
      </w:r>
      <w:r>
        <mc:AlternateContent>
          <mc:Choice Requires="wps">
            <w:drawing>
              <wp:anchor behindDoc="0" distT="8255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 </w:t>
      </w:r>
      <w:r>
        <mc:AlternateContent>
          <mc:Choice Requires="wps">
            <w:drawing>
              <wp:anchor behindDoc="0" distT="8255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or methods of determining the portion, of the principal amount of the debt securities which we must pay upon the acceleration of the maturity of the debt securities in connection with an Event of Default (as described below), if other than the full principal amount; </w:t>
      </w:r>
      <w:r>
        <mc:AlternateContent>
          <mc:Choice Requires="wps">
            <w:drawing>
              <wp:anchor behindDoc="0" distT="8255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if any, granting special rights to holders of the debt securities upon the occurrence of specified events; </w:t>
      </w:r>
      <w:r>
        <mc:AlternateContent>
          <mc:Choice Requires="wps">
            <w:drawing>
              <wp:anchor behindDoc="0" distT="8255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our covenants with respect to the applicable series of debt securities, and whether or not such Events of Default or covenants are consistent with those contained in the applicable indenture; </w:t>
      </w:r>
      <w:r>
        <mc:AlternateContent>
          <mc:Choice Requires="wps">
            <w:drawing>
              <wp:anchor behindDoc="0" distT="0" distB="0" distL="254000" distR="0" simplePos="0" locked="0" layoutInCell="1" allowOverlap="1" relativeHeight="120">
                <wp:simplePos x="0" y="0"/>
                <wp:positionH relativeFrom="column">
                  <wp:align>left</wp:align>
                </wp:positionH>
                <wp:positionV relativeFrom="line">
                  <wp:posOffset>635</wp:posOffset>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 on our ability to incur debt, redeem stock, sell our assets or other restrictions; </w:t>
      </w:r>
      <w:r>
        <mc:AlternateContent>
          <mc:Choice Requires="wps">
            <w:drawing>
              <wp:anchor behindDoc="0" distT="6858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if any, of the terms of the indenture relating to legal defeasance and covenant defeasance (which terms are described below) to the debt securities; </w:t>
      </w:r>
      <w:r>
        <mc:AlternateContent>
          <mc:Choice Requires="wps">
            <w:drawing>
              <wp:anchor behindDoc="0" distT="6858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subordination provisions summarized below or different subordination provisions will apply to the debt securities; </w:t>
      </w:r>
      <w:r>
        <mc:AlternateContent>
          <mc:Choice Requires="wps">
            <w:drawing>
              <wp:anchor behindDoc="0" distT="6858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if any, upon which the holders may convert or exchange (or upon which we may require the holders to convert or exchange) the debt securities into or for common stock, preferred stock or other securities or property of ours or of another person (or upon which such debt securities shall automatically convert or be exchanged into or for such other securities or property);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the debt securities will be issued in global form and, if so, the terms and conditions upon which global debt securities may be exchanged for certificated debt securities; </w:t>
      </w:r>
      <w:r>
        <mc:AlternateContent>
          <mc:Choice Requires="wps">
            <w:drawing>
              <wp:anchor behindDoc="0" distT="6858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right of the trustee or the requisite holders of debt securities to declare the principal amount thereof due and payable because of an Event of Default; </w:t>
      </w:r>
      <w:r>
        <mc:AlternateContent>
          <mc:Choice Requires="wps">
            <w:drawing>
              <wp:anchor behindDoc="0" distT="6858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depository for global or certificated debt securities; </w:t>
      </w:r>
      <w:r>
        <mc:AlternateContent>
          <mc:Choice Requires="wps">
            <w:drawing>
              <wp:anchor behindDoc="0" distT="6731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trustees, authenticating or paying agents, transfer agents or registrars or other agents with respect to the debt securities; </w:t>
      </w:r>
      <w:r>
        <mc:AlternateContent>
          <mc:Choice Requires="wps">
            <w:drawing>
              <wp:anchor behindDoc="0" distT="6731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 </w:t>
      </w:r>
      <w:r>
        <mc:AlternateContent>
          <mc:Choice Requires="wps">
            <w:drawing>
              <wp:anchor behindDoc="0" distT="6731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 </w:t>
      </w:r>
      <w:r>
        <mc:AlternateContent>
          <mc:Choice Requires="wps">
            <w:drawing>
              <wp:anchor behindDoc="0" distT="6731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collateral, if any, securing such debt securities, and the guarantors, if any, who will guarantee such non-convertible debt securities, or the methods of determining such collateral, if any, and such guarantors, if any; </w:t>
      </w:r>
      <w:r>
        <mc:AlternateContent>
          <mc:Choice Requires="wps">
            <w:drawing>
              <wp:anchor behindDoc="0" distT="6731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any securities of the series which shall be payable upon declaration of acceleration of the maturity of the debt securities pursuant to the applicable indenture if other than the entire principal amount; </w:t>
      </w:r>
      <w:r>
        <mc:AlternateContent>
          <mc:Choice Requires="wps">
            <w:drawing>
              <wp:anchor behindDoc="0" distT="6731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r>
        <mc:AlternateContent>
          <mc:Choice Requires="wps">
            <w:drawing>
              <wp:anchor behindDoc="0" distT="6731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change or eliminate any of the provisions of the indentures to such extent as shall be necessary to add any of our subsidiaries as a co-issuer of debt securities of an applicable series; and </w:t>
      </w:r>
      <w:r>
        <mc:AlternateContent>
          <mc:Choice Requires="wps">
            <w:drawing>
              <wp:anchor behindDoc="0" distT="6731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not inconsistent with the provisions of the indentures, as amended or supplemented. </w:t>
      </w:r>
      <w:r>
        <mc:AlternateContent>
          <mc:Choice Requires="wps">
            <w:drawing>
              <wp:anchor behindDoc="0" distT="6731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be issued in fully-registered form without coupons.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sold at a substantial discount below their stated principal amount, bearing no interest or interest at a rate which at the time of issuance is below market rates. The applicable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relating to any offering of subordinated debt securities will describe the specific subordination provisions. However, unless otherwise noted in the prospectus supplement, subordinated debt securities will be subordinate and junior in right of payment to any Senior Debt on the terms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subordinated indenture, “Senior Debt” means all amounts due on obligations in connection with any of the following, whether outstanding at the date of execution of the subordinated indenture or thereafter incurred or created: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and interest due on our indebtedness for borrowed money and indebtedness evidenced by securities, debentures, bonds or other similar instruments issued by us (including all mandatory obligations under repurchase agreements for the payment of the repurchase price for the securities purchased pursuant thereto);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obligations as lessee under leases required to be capitalized on the balance sheet of the lessee under generally accepted accounting principles;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obligations for the reimbursement on any letter of credit, banker’s acceptance, security purchase facility or similar credit transaction;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obligations in respect of interest rate swap, cap or other agreements, interest rate future or options contracts, currency swap agreements, currency future or option contracts and other similar agreements;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the types referred to above of other persons for the payment of which we are responsible or liable as obligor, guarantor or otherwise; and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the types referred to above of other persons secured by any lien on any property or asset of ours (whether or not such obligation is assumed by us).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Senior Debt does not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indebtedness in respect of the subordinated debt securities;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indebtedness or liability for compensation to employees, for goods or materials purchased in the ordinary course of business or for services;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indebtedness to any subsidiary; or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liability for federal, state, local or other taxes owed or owing by us.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Debt shall continue to be Senior Debt and be entitled to the benefits of the subordination provisions irrespective of any amendment, modification or waiver of any term of such Senior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default in the payment of any principal of (or premium, if any) or interest on any Senior Debt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but excluding payments in securities which are subordinate in right of payment to all then outstanding Senior Debt, or “Junior Securities”)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of the principal of or interest on the subordinated debt securities or in respect of any redemption, retirement, purchase or other acquisition of any of the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following events occur, we will pay in full all Senior Debt before we make any payment or distribution under the subordinated debt securities, whether in cash, securities or other property, to any holder of subordinated debt securities: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dissolution or winding-up or liquidation or reorganization of Carriage (or relating to our property), whether voluntary or involuntary or in bankruptcy, insolvency or receivership;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general assignment by us for the benefit of creditors; or </w:t>
      </w:r>
      <w:r>
        <mc:AlternateContent>
          <mc:Choice Requires="wps">
            <w:drawing>
              <wp:anchor behindDoc="0" distT="787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marshaling of our assets or liabilities.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Debt in accordance with the priorities then existing among such holders until all Senior Debt has been paid in full. If any payment or distribution under the subordinated debt securities is received by the trustee of any subordinated debt securities in contravention of any of the terms of the subordinated indenture and before all the Senior Debt has been paid in full (other than permitted payments in Junior Securities), such payment or distribution or security will be received in trust for the benefit of, and paid over or delivered and transferred to, the holders of the Senior Debt at the time outstanding in accordance with the priorities then existing among such holders for application to the payment of all Senior Debt remaining unpaid to the extent necessary to pay all such Senior Debt in full.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does not limit the issuance of additional Senior Debt.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Subsidiary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in the prospectus supplement, our guarantor subsidiaries will guarantee the non-convertible debt securities of a series. Unless otherwise indicated in the prospectus supplement, the following provisions will apply to the guarantees of the guarantor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limitations described below and in the prospectus supplement, the guarantor subsidiaries will, jointly and severally, fully and unconditionally guarantee the punctual payment when due, whether at the maturity date, by acceleration or otherwise, of all our payment obligations under the indentures and the non-convertible debt securities of a series, whether for principal of, premium, if any, or interest on the non-convertible debt securities or otherwise. The guarantor subsidiaries will also pay all expenses (including reasonable counsel fees and expenses) incurred by the applicable trustee in enforcing any rights under a guarantee with respect to a guarantor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non-convertible debt securities, a guarantee of a guarantor subsidiary will be subordinated in right of payment to the senior debt of such guarantor subsidiary on the same basis as the subordinated non-convertible debt securities are subordinated to our senior debt. No payment will be made by any guarantor subsidiary under its guarantee during any period in which payments by us on the subordinated non-convertible debt securities are suspended by the subordination provisions of the subordinated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guarantee of a guarantor subsidiary will be limited to an amount not to exceed the maximum amount that can be guaranteed by the relevant guarantor subsidiary without rendering such guarantee voidable under applicable law relating to fraudulent conveyance or fraudulent transfer or similar laws affecting the rights of creditors generally.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guarantee of a guarantor subsidiary will be a continuing guarantee and will: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 in full force and effect until either (a) payment in full of all the applicable non-convertible debt securities (or such non-convertible debt securities are otherwise satisfied and discharged in accordance with the provisions of the applicable indenture) or (b) released as described in the following paragraph;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binding upon each guarantor subsidiary; and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inure to the benefit of and be enforceable by the applicable trustee, the holders of the non-convertible debt securities and their successors, transferees and assigns.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guarantor subsidiary ceases to be our subsidiary, or all or substantially all of the assets or all of the capital stock of any guarantor subsidiary is sold or disposed of, including by way of sale, merger, consolidation or otherwise, such guarantor subsidiary will be released and discharged of its obligations under its guarantee without any further action required on the part of the trustee or any holder of the non-convertible debt securities, and no other person acquiring or owning the assets or capital stock of such guarantor subsidiary will be required to enter into a guarantee. If legal or covenant defeasance occurs with respect to the non-convertible debt securities of any series, all the guarantor subsidiaries will be released and discharged from their obligations under their guarantees. In addition, the prospectus supplement may specify additional circumstances under which a guarantor subsidiary can be released from its guarantee.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Sale of Assets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merge with or into or consolidate with another entity or sell, assign, transfer, lease or convey all or substantially all of our properties and assets to, any other entity other than a direct or indirect wholly owned subsidiary of ours, and no entity may merge with or into or consolidate with us or, except for any direct or indirect wholly owned subsidiary of ours, sell, assign, transfer, lease or convey all or substantially all of its properties and assets to us,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corporation or the entity formed by or surviving such merger or consolidation or to which such sale, assignment, transfer, lease or conveyance has been made, if other than us, has expressly assumed by supplemental indenture all of our obligations under the applicable indenture;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default or Event of Default has occurred and is continuing; and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an officers’ certificate and an opinion of counsel, each stating that the supplemental indenture complies with the applicable indenture.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accompanying prospectus supplement states otherwise, the following shall constitute “Events of Default” under the indentures with respect to each series of debt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any interest on any debt security of such series when due and payable, continued for 30 days;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principal (or premium, if any) on any debt security of such series when due, regardless of whether such payment became due because of maturity, redemption, acceleration or otherwise, or is required by any sinking fund established with respect to such series;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observe or perform any other of our covenants or agreements with respect to such debt securities for 90 days after we receive notice of such failure;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Carriage; and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securities of that series.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any debt securities of any series outstanding under an indenture shall occur and be continuing, the trustee under such indenture or the holders of at least 25% in aggregate principal amount of the debt securities of that series outstanding may declare, by notice as provided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indenture, the principal amount (or such lesser amount as may be provided for in the debt securities of that series) of all the debt securities of that series outstanding to be due and payable immediately.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case of an Event of Default involving certain events in bankruptcy, insolvency or reorganization, acceleration is automatic.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Please read the prospectus supplement relating to any original issue discount securities for the particular provisions relating to acceleration of maturity thereof.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(i) default in the payment of the principal of (or premium, if any) or interest on any debt securities of such series or (ii) default in respect of a covenant or provision which may not be amended or modified without the consent of the holder of each outstanding debt security of such series affected.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within 90 days after the occurrence of a default (which is actually known to the trustee and is continuing), with respect to the debt securities of any series (without regard to any grace period or notice requirements), to give to the holders of the debt securities of such series notice of such default. The trustee may withhold from the holders notice of any continuing Event of Default, except an Event of Default relating to the payment of principal, premium, if any, or interest, if it withholding such notice would be in the interest of the holders.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requisite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the holder has given to the trustee written notice of an Event of Default and of the continuance thereof with respect to the debt securities of such series specifying an Event of Default, as required under the applicable indenture; </w:t>
      </w:r>
      <w:r>
        <mc:AlternateContent>
          <mc:Choice Requires="wps">
            <w:drawing>
              <wp:anchor behindDoc="0" distT="6985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debt securities of that series then outstanding under such indenture shall have requested the trustee to institute such action and offered to the trustee indemnity and security satisfactory to it against the costs, expenses and liabilities to be incurred in compliance with such request; </w:t>
      </w:r>
      <w:r>
        <mc:AlternateContent>
          <mc:Choice Requires="wps">
            <w:drawing>
              <wp:anchor behindDoc="0" distT="6985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not have instituted such action within 60 days of such request; and </w:t>
      </w:r>
      <w:r>
        <mc:AlternateContent>
          <mc:Choice Requires="wps">
            <w:drawing>
              <wp:anchor behindDoc="0" distT="6985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direction inconsistent with such written request has been given to the trustee during such 60-day period by the holders of a majority in principal amount of the debt securities of that series. </w:t>
      </w:r>
      <w:r>
        <mc:AlternateContent>
          <mc:Choice Requires="wps">
            <w:drawing>
              <wp:anchor behindDoc="0" distT="6985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furnish annually to the trustee statements as to our compliance with all conditions and covenants under each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below, we may discharge or defease our obligations under the indentures, unless otherwise indicated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discharge certain obligations to holders of any series of debt securities issued under either the senior indenture or the subordinated indenture which have not already been delivered to the trustee for cancellation and which have either become due and payable or are by their terms due and payable within one year (or scheduled for redemption within one year)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have paid all other sums payable under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we may elect either (i) to defease and be discharged from any and all obligations with respect to the debt securities of or within any series (except as otherwise provided in the relevant indenture) (“legal defeasance”) or (ii)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an officers’ certificate and an opinion of counsel, each stating that all conditions precedent with respect to such legal defeasance or covenant defeasance have been complied 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exercise our legal defeasance option with respect to such debt securities notwithstanding our prior exercise of our covenant defeasance option.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each indenture, we and the applicable trustee may supplement the indenture for certain purposes which would not materially adversely affect the interests or rights of the holders of debt securities of a series without the consent of those holders. We and the applicable trustee may also modify the indenture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each indenture requires the consent of each holder of debt securities that would be affected by any modification which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fixed maturity of any debt securities of any series, or reduce the principal amount thereof, or reduce the rate or extend the time of payment of interest thereon, or reduce any premium payable upon the redemption thereof;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 original issue discount debt security or any other debt security payable upon acceleration of the maturity thereof; </w:t>
      </w:r>
      <w:r>
        <mc:AlternateContent>
          <mc:Choice Requires="wps">
            <w:drawing>
              <wp:anchor behindDoc="0" distT="635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currency in which any debt security or any premium or interest is payable; </w:t>
      </w:r>
      <w:r>
        <mc:AlternateContent>
          <mc:Choice Requires="wps">
            <w:drawing>
              <wp:anchor behindDoc="0" distT="635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enforce any payment on or with respect to any debt security; </w:t>
      </w:r>
      <w:r>
        <mc:AlternateContent>
          <mc:Choice Requires="wps">
            <w:drawing>
              <wp:anchor behindDoc="0" distT="635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of any series, the consent of whose holders is required for modification or amendment of the indenture or for waiver of compliance with certain provisions of the indenture or for waiver of certain defaults; or </w:t>
      </w:r>
      <w:r>
        <mc:AlternateContent>
          <mc:Choice Requires="wps">
            <w:drawing>
              <wp:anchor behindDoc="0" distT="635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above provisions. </w:t>
      </w:r>
      <w:r>
        <mc:AlternateContent>
          <mc:Choice Requires="wps">
            <w:drawing>
              <wp:anchor behindDoc="0" distT="635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permits the holders of at least a majority in aggregate principal amount of the outstanding debt securities of any series issued under the indenture which is affected by the modification or amendment to waive our compliance with certain covenants contained in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interest on a debt security on any interest payment date will be made to the person in whose name a debt security is registered at the close of business on the record date for the interest;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and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monies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Denominations, Registrations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accompanying prospectus supplement states otherwise, debt securities will be represented by one or more global certificates registered in the name of a nominee for The Depository Trust Company (“DTC”). In such case, each holder’s beneficial interest in the global securities will be shown on the records of DTC or one of its participants and transfers of beneficial interests will only be effected through DTC’s or such participant’s records.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debt securities may only exchange a beneficial interest in a global security for certificated securities registered in the holder’s name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serving as the depositary for the relevant global securities or DTC ceases to maintain certain qualifications under the Exchange Act and no successor depositary has been appointed for 90 days; or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that the global security shall be exchangeable.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applicable indenture. Exchanges of debt securities for an equal aggregate principal amount of debt securities in different denominations may also be made at such locations.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and debt securities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contains limitations on the right of the trustee, if it becomes a creditor of Carriage or any subsidiary guarantor, if applicable, to obtain payment of claims or to realize on certain property received for any such claim, as security or otherwise. The trustee is permitted to engage in other transactions with Carriage or any subsidiary guarantor, if applicable. If, however, it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describe the terms, if any, on which a series of debt securities may be convertible into or exchangeable for our common stock, preferred stock or other debt securities. These terms will include provisions as to whether conversion or exchange is mandatory, at the option of the holder, or at our option. These provisions may allow or require the number of shares of our common stock or other securities to be received by the holders of such series of debt securities to be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DOC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80,000,000 shares of common stock, par value $.01, of which 15,751,052 shares were issued and outstanding as of December 31, 2025, and 40,000,000 shares of preferred stock, par value $.01, of which no shares were issued and outstanding as of December 31, 2025. Our common stock is quoted on the New York Stock Exchange under the symbol “CSV.” The following description of our capital stock is based on our Charter and By-Laws (each as defined below), as amended and currently in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are entitled to one vote for each share held on all matters submitted to a vote of common stockholders. Our common stock does not have cumulative voting rights, which means that the holders of a majority of the voting power of shares of common stock outstanding can elect all the directors, and the holders of the remaining shares will not be able to elect any directors. Each share of common stock is entitled to participate equally in dividends, if, as and when declared by our Board of Directors (the “Board”), and in the distribution of assets in the event of liquidation, subject in all cases to any prior rights of outstanding shares of preferred stock outstanding. Our shares of common stock have no preemptive rights, redemption rights or sinking fund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are entitled to one vote per share in the election of directors and on all other matters submitted to a vote of stockholders. Such holders do not have the right to cumulate their votes in the election of directors. Holders of our common stock have no redemption or conversion rights, no preemptive or other rights to subscribe for our securities and are not entitled to the benefits of any sinking fund provisions. In the event of our liquidation, dissolution or winding-up, holders of our common stock are entitled to share equally and ratably in all of the assets remaining, if any, after satisfaction of all our debts and liabilities, and of the preferential rights of any series of preferred stock then outstanding. Subject to preferences that may be applicable to any then outstanding preferred stock, holders of our common stock are entitled to receive dividends when, as and if declared by our Board out of funds legally available therefor.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preferred stock may be issued in series, and shares of each series will have such rights and preferences as may be fixed by our Board in the resolution authorizing the issuance of that particular series. In designating any series of preferred stock, our Board has the authority, without further action by the holders of our common stock, to fix the rights, dividend rate, conversion rights, rights and terms of redemption, and the liquidation preferences of that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series of preferred stock we are offering will include specific terms relating to the offering. We will file the form of the preferred stock with the SEC before we issue any of it, and you should read it for provisions that may be important to you. The prospectus supplement will include some or all of the following terms: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preferred stock;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of shares of the series;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the method of calculating the dividend, the date from which dividends will accrue and whether dividends will be cumulative;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liquidation preference;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for the conversion or exchange of the preferred stock for other securities of us or any other entity;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voting rights; and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preferences and relative, participating, optional or other special rights or any qualifications, limitations or restrictions on the rights of the shares.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shares of preferred stock, as well as shares of common stock, are available for issuance without further action by our stockholders, unless stockholder action is required by the rules of any stock exchange or automated quotation system on which our securities are listed or traded. If the approval of our stockholders is not required for the issuance of shares of preferred stock or common stock, our Board may determine not to seek stockholder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Board has no intention at the present time of doing so, it could issue a series of preferred stock that could, depending on the terms of that series, impede the completion of a merger, tender offer or other takeover attempt. Our Board will make any determination to issue shares based on its judgment as to our best interests and the best interests of our stockholders. Our Board, in so acting, could issue preferred stock having terms that could discourage an acquisition attempt, including a tender offer or other transaction that some, or a majority of, our stockholders might believe to be in their best interests or that might result in stockholders receiving a premium for their stock over the then current market price of the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General Corporation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Delaware corporation and is subject to Section 203 of the Delaware General Corporation Law. In general, Section 203 prevents an “interested stockholder” ​(defined generally as a person owning 15% or more of our outstanding voting stock) from engaging in a business combination with us for three years following the date that person becomes an interested stockholder, with the following exceptions: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Company’s Board approved either the business combination or the transaction that resulted in the stockholder becoming an interested holder;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of the Delaware General Corporation Law defines business combination to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transfer, pledge or other disposition of 10% or more of the assets of the corporation involving the interested stockholder;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loss, advances, guarantees, pledges or other financial benefits by or through the corporation.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of the Delaware General Corporation Law defines an “interested stockholder” as an entity or person who, together with the person’s affiliates and associates, beneficially owns, or is an affiliate or associate of the corporation and within three years prior to the time of determination of interested stockholder status did own, 15% or more of the outstanding voting stock of the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Charter and By-Law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Amended and Restated Certificate of Incorporation dated July 2, 1996 (as amended, the “Charter”) provides that the Company’s Board is divided into three classes. The directors of each class are elected for three-year terms, with the terms of the three classes staggered so that directors from a single class are elected at each annual meeting of stockholders. Stockholders may remove a director prior to the end of the three-year term only for cause upon the vote of holders of at least 80% of voting power of the outstanding shares of common stock. In general, the Company’s Board, not the stockholders, has the right to appoint persons to fill vacancies on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are elected by a majority of votes cast. The Company’s Amended and Restated By-Laws dated June 21, 2023 (the “By-Laws”) provide that in an uncontested election if the nominee director does not receive a majority of the votes cast, the nominee must promptly deliver a written resignation to the Company’s Board and the resignation will be immediately accepted and the office will be considered vacant and the Company’s Board may either then fill the vacancy by a majority vote or decrease the size of the Board. In the event of a contested election of directors, the By-Laws provide that directors will be elected by the vote of a plurality of the votes of the shares present in person or represented by proxy and entitled to vote in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provide that special meetings of holders of common stock may be called only by the Company’s Board and that only such business proposed by the Company’s Board may be considered at special meetings of holders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provide that the only business (including election of directors) that may be considered at an annual meeting of holders of common stock, in addition to business proposed (or persons nominated to be directors) by the directors of the Company, is business proposed (or persons nominated to be directors) by holders of common stock who comply with the notice and disclosure requirements set forth in the By-Laws. In general, the By-Laws require that a stockholder give the Company timely notice of proposed business or nominations in advance of the annual meetings in accordance with the deadlines for such notices set forth therein. In general, the notice must also contain, for example, background information and disclosures about the stockholder proposing the business or nomination, including disclosure of any arrangements with third-parties, including interests in the Company’s stock, the stockholder’s interest in the business, a description of any equity or derivative agreement, arrangement or understanding the proposing stockholder may have related to the Company’s stock that is intended to mitigate loss to, manage risk or benefit from, any share price changes, or increase or decrease the proposing stockholder’s voting power, a representation that the stockholder will appear in person or cause a representative to appear to properly bring such business before the meeting, or nominate any person at the meeting, as applicable, all information that may be required to be set forth in a Schedule 13D filed pursuant to Rule 13d-1(a) under the Exchange Act or an amendment pursuant to Rule 13d-2(a) under the Exchange Act, if applicable, a representation whether or not the proposing stockholder intends to (a) solicit proxies in support of director nominees in accordance with Rule 14a-19 under the Exchange Act or (b) engage in a solicitation (within the meaning of Exchange Act 14a-1(l)) with respect to the nominee or other business, as applicable, and (with respect to nominations for director) information about the nominee required to be disclosed pursuant to Item 404 of Regulation S-K of the Exchange Act, information about the nominee of the nature ordinarily required to be disclosed in public proxy solicitation statements, the completion of a written questionnaire with respect to the nominee’s background and qualifications, submitting a written representation and agreement that the nominee is not, and will not become, party to certain agreements, arrangements or understandings that, if elected as director, would (i) commit how the nominee were to act or vote on any specific issue or question, (ii) limit or interfere with compliance with a director’s fiduciary duties under applicable law, (iii) comply with all applicable rules of the Company’s listed securities exchange, certificate of incorporation, the By-Laws and all other applicable publicly disclosed governance and other similar policies of the Company, and (iv) provide facts, statements and other communications with the Company and its stockholders that are not misleading.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General Corporation Law provides generally that the affirmative vote of a majority of the shares entitled to vote on any matter is required to amend a corporation’s certificate of incorporation or bylaws, unless the corporation’s certificate of incorporation or bylaws requires a greater percentage. The Charter provides that approval by the holders of at least 80% of the outstanding voting stock of the Company is required to amend the staggered board provisions previously discussed and certain other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By-Laws provide that approval by the holders of at least two-thirds of the voting power of the outstanding voting stock of the Company is required to amend the By-Laws, including the provisions previously discussed. The combination of our staggered Board, the lack of cumulative voting and these supermajority stockholder voting requirements will make it more difficult for existing stockholders to replace the Company’s Board as well as for another party to obtain control of us by replacing the Company’s Board. Because the Company’s Board has the power to retain and discharge our officers, these provisions could also make it more difficult for existing stockholders or another party to effect a change in management. In addition, the authorization of undesignated preferred stock makes it possible for the Company’s Board to issue preferred stock with voting or other rights or preferences that could impede the success of any attempt to change control of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have the effect of deterring hostile takeovers or delaying changes in control or management of us. These provisions are intended to enhance the likelihood of continued stability in the composition of the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DODS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deposit agreement, each of which will represent the applicable interest in a number of shares of a particular series of the preferred stock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this prospectus supplement, a holder of depositary shares is not entitled to receive the shares of preferred stock underlying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of the Depositary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at our option, the depositary, will forward to the holders of depositary shares all reports and communications from us which we are required to furnish to the holders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W"/>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warrants are offered, the prospectus supplement relating to a series of warrants will include the specific terms of the warrants,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warrants offered;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or periods during which the warrants can be exercised;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individual certificates to holders or in the form of global securities held by a depositary on behalf of holders;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securities with which the warrants are issued;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warrants are issued as a unit with another security, the date, if any, on and after which the warrants and the other security will be separately transferable;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exercise price is not payable in U.S. dollars, the foreign currency, currency unit or composite currency in which the exercise price is denominated;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procedures and limitations relating to the transferability, exchange or exercise of the warrants;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special tax implications of the warrants or their exercise;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antidilution provisions of the warrants;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call provisions applicable to the warrants; and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Transfers and Exchanges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will be able to exercise warrants up to 5:00 P.M. New York City time on the date set forth in the prospectus supplement as the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this time, unless we have extended the expiration date, the unexercised warrants will be void.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restrictions and additional requirements that may be set forth in a prospectus supplement, holders of warrants may exercise them by delivering to the warrant agent at its corporate trust office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 certificates properly completed; and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exercise price. </w:t>
      </w:r>
      <w:r>
        <mc:AlternateContent>
          <mc:Choice Requires="wps">
            <w:drawing>
              <wp:anchor behindDoc="0" distT="0" distB="0" distL="254000" distR="0" simplePos="0" locked="0" layoutInCell="1" allowOverlap="1" relativeHeight="207">
                <wp:simplePos x="0" y="0"/>
                <wp:positionH relativeFrom="column">
                  <wp:align>left</wp:align>
                </wp:positionH>
                <wp:positionV relativeFrom="line">
                  <wp:posOffset>635</wp:posOffset>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Rights of Security Holder Prior to Exercise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exercise of their warrants, holders of warrants will not have any of the rights of holders of the securities purchasable upon the exercise of the warrants, and will not be entitled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payments of principal of, premium, if any, or interest, if any, on the debt securities purchasable upon exercise; or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equity securities, the right to vote or to receive dividend payments or similar distributions on the securities purchasable upon exercise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 by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agent will act solely as our agent under the relevant warrant agreement and will not assume any obligation or relationship of agency or trust for any warrantholder.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SR"/>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appropriate, the applicable prospectus supplement will describe the specific terms of the subscription rights to purchase shares of our securities offered thereby,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determining the securityholders entitled to the subscription rights distribution;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the common stock, preferred stock, depositary shares or other securities upon the exercise of the subscription right;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subscription rights issued to each securityholder;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common stock, preferred stock, depositary shares or other securities that may be purchased per each subscription right;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amount of securities receivable upon exercise of the subscription rights or of the exercise price of the subscription rights;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shall commence, and the date on which the subscription rights shall expire;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federal income tax considerations; and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transferability, exchange and exercise of the subscription rights.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P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purchase contracts are offered, the prospectus supplement will specify the material terms of the purchase contracts, the units and any applicable pledge or depository arrangements, including one or more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amount that a holder will be obligated to pay under the purchase contract in order to purchase the underlying security;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date or dates on which the holder will be obligated to purchase the underlying security and whether the occurrence of any events may cause the settlement date to occur on an earlier date and the terms on which any early settlement would occur;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events, if any, that will cause our obligations and the obligations of the holder under the purchase contract to terminate;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contracts will be issued separately or as part of units consisting of a purchase contract and an underlying debt or preferred security with an aggregate principal amount or liquidation amount equal to the stated amount;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of security, if any, that is pledged by the holder to secure its obligations under a purchase contract;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pledge arrangement relating to the security, including the terms on which distributions or payments of interest and principal on the security will be retained by a collateral agent, delivered to us or be distributed to the holder; and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contract fee, if any, that may be payable by us to the holder or by the holder to us, the date or dates on which the contract fee will be payable and the extent to which we or the holder, as applicable, may defer payment of the contract fee on those payment dates.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DOU"/>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consisting of one or more shares of common stock, shares of preferred stock, warrants, debt securities, subscription rights, purchase contracts or any combination of such securities, including subsidiary guarantees of debt securities. The applicable prospectus supplement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comprising the units, including whether and under what circumstances the securities comprising the units may be separately traded;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applicable to the units, including a description of the terms of any applicable unit agreement governing the units; and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description of the provisions for the payment, settlement, transfer or exchange of the units.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FO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persons that have accounts with the depositary for such global security known as “participants” or persons that may hold interests through such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interests in such global security or for maintaining, supervising or reviewing any records relating to such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POD"/>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terms of the offering of the securities in a prospectus supplement, information incorporated by reference or any related free writing prospectus,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if any;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we will receive from the sale;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and other items constituting underwriters’ compensation;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market on which the securities may be listed.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underwriters we name in the prospectus supplement, information incorporated by reference or any related free writing prospectus are underwriters of the securities offered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may be effected, from time to time, in one or more transactions,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transactions (which may involve crosses) and transactions on the New York Stock Exchange or any other organized market where the securities may be traded;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own account pursuant to a prospectus supplement;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a broker-dealer solicits purchasers;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“at the market” to or through a market maker or into an existing trading market, on an exchange or otherwise; and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other ways not involving market makers or established trading markets, including direct sales to purchasers.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our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the offered securities will be acquired by the underwriters for their own account.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specific managing underwriter or underwriters, as well as any other underwriters, and the terms of the transactions, including the compensation the underwriters and dealers will receive, in the prospectus supplement.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use this prospectus and the prospectus supplement to sell our securities.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from us up to the number of shares of common stock that would be issuable upon conversion or exchange of all the shares of the class or series of our securities at an agreed price per share of common stock; or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or underwriters would also agree, if applicable, to convert or exchange any securities of the class or series held or purchased by the underwriter or underwriters into or for our common stock or other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or underwriters may assist in the solicitation of conversions or exchanges by holders of the class or series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our securities.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as principal, will sell our securities to the dealer.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resell our securities to the public at varying prices that the dealer will determine at the time it sells our securities. </w:t>
      </w:r>
      <w:r>
        <mc:AlternateContent>
          <mc:Choice Requires="wps">
            <w:drawing>
              <wp:anchor behindDoc="0" distT="7239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our transactions with the dealer in the prospectus supplement.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designate agents to solicit offers to purchase our securities.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offering or selling our securities and any commissions that we will pay to the agent in the prospectus supplement. </w:t>
      </w:r>
      <w:r>
        <mc:AlternateContent>
          <mc:Choice Requires="wps">
            <w:drawing>
              <wp:anchor behindDoc="0" distT="7239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prospectus supplement, our agents will act on a best efforts basis for the period of their appointment.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agents may be deemed to be underwriters under the Securities Act of any of our securities that they offer or sell.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our agents and underwriters to solicit offers by certain institutions to purchase our securities at the public offering price under delayed delivery contracts.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prospectus supplement and will tell you when we will demand payment and delivery of the securities under the delayed delivery contracts. </w:t>
      </w:r>
      <w:r>
        <mc:AlternateContent>
          <mc:Choice Requires="wps">
            <w:drawing>
              <wp:anchor behindDoc="0" distT="7366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set forth in the prospectus supplement.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indicate in the prospectus supplement the commission that underwriters and agents soliciting purchases of our securities under delayed delivery contracts will be entitled to receive.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our securities may be underwriters as defined in the Securities Act, and any discounts or commissions they receive and any profit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LEMA"/>
      <w:bookmarkEnd w:id="30"/>
      <w:r>
        <w:rPr>
          <w:rFonts w:ascii="calibri;arial;sans-serif" w:hAnsi="calibri;arial;sans-serif"/>
          <w:b w:val="false"/>
          <w:i w:val="false"/>
          <w:caps w:val="false"/>
          <w:smallCaps w:val="false"/>
          <w:color w:val="000000"/>
          <w:sz w:val="16"/>
        </w:rPr>
        <w:t>​</w:t>
      </w:r>
      <w:bookmarkStart w:id="31" w:name="bEXP"/>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securities offered hereby will be passed on for us by Porter Hedges LLP, Houston, Texas, and as to certain of the guarantors, by Sam A. Mazzu, III, Esq., Vice President, General Counsel and Secretary of Carriage Services, Inc. Any underwriters will be advised about other issues relating to any offering by their own legal counsel, which will be named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250" w:after="283"/>
        <w:jc w:val="center"/>
        <w:rPr>
          <w:caps w:val="false"/>
          <w:smallCaps w:val="false"/>
          <w:color w:val="000000"/>
        </w:rPr>
      </w:pPr>
      <w:r>
        <w:rPr>
          <w:caps w:val="false"/>
          <w:smallCaps w:val="false"/>
          <w:color w:val="000000"/>
        </w:rPr>
        <w:drawing>
          <wp:inline distT="0" distB="0" distL="0" distR="0">
            <wp:extent cx="1362075" cy="657225"/>
            <wp:effectExtent l="0" t="0" r="0" b="0"/>
            <wp:docPr id="2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 descr=""/>
                    <pic:cNvPicPr>
                      <a:picLocks noChangeAspect="1" noChangeArrowheads="1"/>
                    </pic:cNvPicPr>
                  </pic:nvPicPr>
                  <pic:blipFill>
                    <a:blip r:embed="rId17"/>
                    <a:stretch>
                      <a:fillRect/>
                    </a:stretch>
                  </pic:blipFill>
                  <pic:spPr bwMode="auto">
                    <a:xfrm>
                      <a:off x="0" y="0"/>
                      <a:ext cx="13620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5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Carriage Services,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9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4155" w:type="dxa"/>
        <w:jc w:val="left"/>
        <w:tblInd w:w="1393" w:type="dxa"/>
        <w:tblLayout w:type="fixed"/>
        <w:tblCellMar>
          <w:top w:w="0" w:type="dxa"/>
          <w:left w:w="0" w:type="dxa"/>
          <w:bottom w:w="0" w:type="dxa"/>
          <w:right w:w="0" w:type="dxa"/>
        </w:tblCellMar>
      </w:tblPr>
      <w:tblGrid>
        <w:gridCol w:w="124"/>
        <w:gridCol w:w="2003"/>
        <w:gridCol w:w="109"/>
        <w:gridCol w:w="109"/>
        <w:gridCol w:w="1656"/>
        <w:gridCol w:w="154"/>
      </w:tblGrid>
      <w:tr>
        <w:trPr/>
        <w:tc>
          <w:tcPr>
            <w:tcW w:w="124" w:type="dxa"/>
            <w:tcBorders/>
            <w:vAlign w:val="center"/>
          </w:tcPr>
          <w:p>
            <w:pPr>
              <w:pStyle w:val="TableContents"/>
              <w:bidi w:val="0"/>
              <w:spacing w:before="0" w:after="283"/>
              <w:jc w:val="left"/>
              <w:rPr/>
            </w:pPr>
            <w:r>
              <w:rPr/>
              <w:t>​</w:t>
            </w:r>
          </w:p>
        </w:tc>
        <w:tc>
          <w:tcPr>
            <w:tcW w:w="2003" w:type="dxa"/>
            <w:tcBorders/>
            <w:vAlign w:val="center"/>
          </w:tcPr>
          <w:p>
            <w:pPr>
              <w:pStyle w:val="TableContents"/>
              <w:bidi w:val="0"/>
              <w:spacing w:before="0" w:after="0"/>
              <w:jc w:val="center"/>
              <w:rPr/>
            </w:pPr>
            <w:r>
              <w:rPr>
                <w:spacing w:val="-7"/>
              </w:rPr>
              <w:t>Oppenheimer &amp; Co.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6" w:type="dxa"/>
            <w:tcBorders/>
            <w:vAlign w:val="center"/>
          </w:tcPr>
          <w:p>
            <w:pPr>
              <w:pStyle w:val="TableContents"/>
              <w:bidi w:val="0"/>
              <w:spacing w:before="0" w:after="0"/>
              <w:jc w:val="center"/>
              <w:rPr/>
            </w:pPr>
            <w:r>
              <w:rPr>
                <w:spacing w:val="-7"/>
              </w:rPr>
              <w:t>Raymond James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6, 2026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16281/000101628126000021/csv-20251231.htm" TargetMode="External"/><Relationship Id="rId4" Type="http://schemas.openxmlformats.org/officeDocument/2006/relationships/hyperlink" Target="https://www.sec.gov/ix?doc=/Archives/edgar/data/1016281/000101628126000021/csv-20251231.htm" TargetMode="External"/><Relationship Id="rId5" Type="http://schemas.openxmlformats.org/officeDocument/2006/relationships/hyperlink" Target="https://www.sec.gov/ix?doc=/Archives/edgar/data/1016281/000101628126000021/csv-20251231.htm" TargetMode="External"/><Relationship Id="rId6" Type="http://schemas.openxmlformats.org/officeDocument/2006/relationships/hyperlink" Target="https://www.sec.gov/ix?doc=/Archives/edgar/data/1016281/000110465926036092/tm261332-4_def14a.htm" TargetMode="External"/><Relationship Id="rId7" Type="http://schemas.openxmlformats.org/officeDocument/2006/relationships/hyperlink" Target="https://www.sec.gov/Archives/edgar/data/1016281/000104746902005636/a2095416z8-a12ba.htm" TargetMode="External"/><Relationship Id="rId8" Type="http://schemas.openxmlformats.org/officeDocument/2006/relationships/hyperlink" Target="https://www.sec.gov/Archives/edgar/data/1016281/000104746902005637/a2095414z8-a12ba.htm" TargetMode="External"/><Relationship Id="rId9" Type="http://schemas.openxmlformats.org/officeDocument/2006/relationships/hyperlink" Target="https://www.sec.gov/Archives/edgar/data/1016281/000101628122000046/summaryofsecuritiesdescrip.htm" TargetMode="External"/><Relationship Id="rId10" Type="http://schemas.openxmlformats.org/officeDocument/2006/relationships/hyperlink" Target="https://www.sec.gov/ix?doc=/Archives/edgar/data/1016281/000101628126000010/csv-20260116.htm" TargetMode="External"/><Relationship Id="rId11" Type="http://schemas.openxmlformats.org/officeDocument/2006/relationships/hyperlink" Target="https://www.sec.gov/ix?doc=/Archives/edgar/data/1016281/000101628126000021/csv-20251231.htm" TargetMode="External"/><Relationship Id="rId12" Type="http://schemas.openxmlformats.org/officeDocument/2006/relationships/hyperlink" Target="https://www.sec.gov/ix?doc=/Archives/edgar/data/1016281/000110465926036092/tm261332-4_def14a.htm" TargetMode="External"/><Relationship Id="rId13" Type="http://schemas.openxmlformats.org/officeDocument/2006/relationships/hyperlink" Target="https://www.sec.gov/Archives/edgar/data/1016281/000104746902005636/a2095416z8-a12ba.htm" TargetMode="External"/><Relationship Id="rId14" Type="http://schemas.openxmlformats.org/officeDocument/2006/relationships/hyperlink" Target="https://www.sec.gov/Archives/edgar/data/1016281/000101628122000046/summaryofsecuritiesdescrip.htm" TargetMode="External"/><Relationship Id="rId15" Type="http://schemas.openxmlformats.org/officeDocument/2006/relationships/hyperlink" Target="https://www.sec.gov/ix?doc=/Archives/edgar/data/1016281/000101628126000010/csv-20260116.htm" TargetMode="External"/><Relationship Id="rId16" Type="http://schemas.openxmlformats.org/officeDocument/2006/relationships/hyperlink" Target="https://www.sec.gov/ix?doc=/Archives/edgar/data/1016281/000101628126000021/csv-2025123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25282</Words>
  <Characters>134077</Characters>
  <CharactersWithSpaces>160450</CharactersWithSpaces>
  <Paragraphs>1709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